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669CE" w14:textId="77777777" w:rsidR="001B4D0F" w:rsidRDefault="001B4D0F" w:rsidP="00BF0F3C">
      <w:pPr>
        <w:jc w:val="center"/>
        <w:rPr>
          <w:rFonts w:asciiTheme="majorHAnsi" w:hAnsiTheme="majorHAnsi"/>
        </w:rPr>
      </w:pPr>
      <w:bookmarkStart w:id="0" w:name="_GoBack"/>
      <w:bookmarkEnd w:id="0"/>
    </w:p>
    <w:p w14:paraId="71C4CDBC" w14:textId="77777777" w:rsidR="00501073" w:rsidRPr="00687336" w:rsidRDefault="00501073" w:rsidP="00BF0F3C">
      <w:pPr>
        <w:jc w:val="center"/>
        <w:rPr>
          <w:rFonts w:asciiTheme="majorHAnsi" w:hAnsiTheme="majorHAnsi"/>
          <w:b/>
          <w:sz w:val="26"/>
          <w:szCs w:val="26"/>
        </w:rPr>
      </w:pPr>
      <w:r w:rsidRPr="00687336">
        <w:rPr>
          <w:rFonts w:asciiTheme="majorHAnsi" w:hAnsiTheme="majorHAnsi"/>
          <w:b/>
          <w:sz w:val="26"/>
          <w:szCs w:val="26"/>
        </w:rPr>
        <w:t>BEFORE</w:t>
      </w:r>
    </w:p>
    <w:p w14:paraId="26159F82" w14:textId="77777777" w:rsidR="00501073" w:rsidRPr="00687336" w:rsidRDefault="00501073" w:rsidP="00BF0F3C">
      <w:pPr>
        <w:jc w:val="center"/>
        <w:rPr>
          <w:rFonts w:asciiTheme="majorHAnsi" w:hAnsiTheme="majorHAnsi"/>
          <w:b/>
          <w:sz w:val="26"/>
          <w:szCs w:val="26"/>
        </w:rPr>
      </w:pPr>
      <w:r w:rsidRPr="00687336">
        <w:rPr>
          <w:rFonts w:asciiTheme="majorHAnsi" w:hAnsiTheme="majorHAnsi"/>
          <w:b/>
          <w:sz w:val="26"/>
          <w:szCs w:val="26"/>
        </w:rPr>
        <w:t>MEGHALAYA STATE ELECTRICITY REGULATORY COMMISSION</w:t>
      </w:r>
    </w:p>
    <w:p w14:paraId="2694FB98" w14:textId="77777777" w:rsidR="00501073" w:rsidRPr="00687336" w:rsidRDefault="00501073" w:rsidP="00BF0F3C">
      <w:pPr>
        <w:jc w:val="center"/>
        <w:rPr>
          <w:rFonts w:asciiTheme="majorHAnsi" w:hAnsiTheme="majorHAnsi"/>
          <w:b/>
          <w:sz w:val="26"/>
          <w:szCs w:val="26"/>
        </w:rPr>
      </w:pPr>
      <w:r w:rsidRPr="00687336">
        <w:rPr>
          <w:rFonts w:asciiTheme="majorHAnsi" w:hAnsiTheme="majorHAnsi"/>
          <w:b/>
          <w:sz w:val="26"/>
          <w:szCs w:val="26"/>
        </w:rPr>
        <w:t>SHILLONG</w:t>
      </w:r>
    </w:p>
    <w:p w14:paraId="3C84C6FE" w14:textId="77777777" w:rsidR="00501073" w:rsidRPr="008675CA" w:rsidRDefault="00501073" w:rsidP="00BF0F3C">
      <w:pPr>
        <w:jc w:val="center"/>
        <w:rPr>
          <w:rFonts w:asciiTheme="majorHAnsi" w:hAnsiTheme="majorHAnsi"/>
        </w:rPr>
      </w:pPr>
    </w:p>
    <w:p w14:paraId="4CD2D0C5" w14:textId="77777777" w:rsidR="00501073" w:rsidRPr="008675CA" w:rsidRDefault="00501073" w:rsidP="00BF0F3C">
      <w:pPr>
        <w:jc w:val="center"/>
        <w:rPr>
          <w:rFonts w:asciiTheme="majorHAnsi" w:hAnsiTheme="majorHAnsi"/>
        </w:rPr>
      </w:pPr>
    </w:p>
    <w:p w14:paraId="4E9FEEE1" w14:textId="77777777" w:rsidR="00501073" w:rsidRPr="00687336" w:rsidRDefault="00501073" w:rsidP="00BF0F3C">
      <w:pPr>
        <w:jc w:val="center"/>
        <w:rPr>
          <w:rFonts w:asciiTheme="majorHAnsi" w:hAnsiTheme="majorHAnsi"/>
          <w:b/>
          <w:sz w:val="28"/>
        </w:rPr>
      </w:pPr>
      <w:r w:rsidRPr="00687336">
        <w:rPr>
          <w:rFonts w:asciiTheme="majorHAnsi" w:hAnsiTheme="majorHAnsi"/>
          <w:b/>
          <w:sz w:val="28"/>
        </w:rPr>
        <w:t>PETITION</w:t>
      </w:r>
    </w:p>
    <w:p w14:paraId="689C1B5B" w14:textId="77777777" w:rsidR="00501073" w:rsidRPr="00687336" w:rsidRDefault="00501073" w:rsidP="00BF0F3C">
      <w:pPr>
        <w:jc w:val="center"/>
        <w:rPr>
          <w:rFonts w:asciiTheme="majorHAnsi" w:hAnsiTheme="majorHAnsi"/>
          <w:sz w:val="28"/>
        </w:rPr>
      </w:pPr>
      <w:r w:rsidRPr="00687336">
        <w:rPr>
          <w:rFonts w:asciiTheme="majorHAnsi" w:hAnsiTheme="majorHAnsi"/>
          <w:sz w:val="28"/>
        </w:rPr>
        <w:t>FOR</w:t>
      </w:r>
    </w:p>
    <w:p w14:paraId="47D2684C" w14:textId="77777777" w:rsidR="00501073" w:rsidRPr="00687336" w:rsidRDefault="00501073" w:rsidP="00851E5C">
      <w:pPr>
        <w:spacing w:after="0" w:line="360" w:lineRule="auto"/>
        <w:jc w:val="center"/>
        <w:rPr>
          <w:rFonts w:asciiTheme="majorHAnsi" w:hAnsiTheme="majorHAnsi"/>
          <w:b/>
          <w:sz w:val="28"/>
        </w:rPr>
      </w:pPr>
      <w:r w:rsidRPr="00687336">
        <w:rPr>
          <w:rFonts w:asciiTheme="majorHAnsi" w:hAnsiTheme="majorHAnsi"/>
          <w:b/>
          <w:sz w:val="28"/>
        </w:rPr>
        <w:t>REVIEW OF</w:t>
      </w:r>
    </w:p>
    <w:p w14:paraId="6DF7F736" w14:textId="77777777" w:rsidR="005A647D" w:rsidRPr="00687336" w:rsidRDefault="00641758" w:rsidP="00851E5C">
      <w:pPr>
        <w:spacing w:after="0" w:line="360" w:lineRule="auto"/>
        <w:jc w:val="center"/>
        <w:rPr>
          <w:rFonts w:asciiTheme="majorHAnsi" w:hAnsiTheme="majorHAnsi"/>
          <w:b/>
          <w:sz w:val="28"/>
        </w:rPr>
      </w:pPr>
      <w:r w:rsidRPr="00687336">
        <w:rPr>
          <w:rFonts w:asciiTheme="majorHAnsi" w:hAnsiTheme="majorHAnsi"/>
          <w:b/>
          <w:sz w:val="28"/>
        </w:rPr>
        <w:t xml:space="preserve">ORDER DATED </w:t>
      </w:r>
      <w:r w:rsidR="00CD427E" w:rsidRPr="00687336">
        <w:rPr>
          <w:rFonts w:asciiTheme="majorHAnsi" w:hAnsiTheme="majorHAnsi"/>
          <w:b/>
          <w:sz w:val="28"/>
        </w:rPr>
        <w:t>22</w:t>
      </w:r>
      <w:r w:rsidR="00CD427E" w:rsidRPr="00687336">
        <w:rPr>
          <w:rFonts w:asciiTheme="majorHAnsi" w:hAnsiTheme="majorHAnsi"/>
          <w:b/>
          <w:sz w:val="28"/>
          <w:vertAlign w:val="superscript"/>
        </w:rPr>
        <w:t>ND</w:t>
      </w:r>
      <w:r w:rsidR="005A647D" w:rsidRPr="00687336">
        <w:rPr>
          <w:rFonts w:asciiTheme="majorHAnsi" w:hAnsiTheme="majorHAnsi"/>
          <w:b/>
          <w:sz w:val="28"/>
        </w:rPr>
        <w:t xml:space="preserve"> </w:t>
      </w:r>
      <w:r w:rsidR="00156139" w:rsidRPr="00687336">
        <w:rPr>
          <w:rFonts w:asciiTheme="majorHAnsi" w:hAnsiTheme="majorHAnsi"/>
          <w:b/>
          <w:sz w:val="28"/>
        </w:rPr>
        <w:t>March</w:t>
      </w:r>
      <w:r w:rsidR="005A647D" w:rsidRPr="00687336">
        <w:rPr>
          <w:rFonts w:asciiTheme="majorHAnsi" w:hAnsiTheme="majorHAnsi"/>
          <w:b/>
          <w:sz w:val="28"/>
        </w:rPr>
        <w:t xml:space="preserve">, </w:t>
      </w:r>
      <w:r w:rsidR="00CD427E" w:rsidRPr="00687336">
        <w:rPr>
          <w:rFonts w:asciiTheme="majorHAnsi" w:hAnsiTheme="majorHAnsi"/>
          <w:b/>
          <w:sz w:val="28"/>
        </w:rPr>
        <w:t>202</w:t>
      </w:r>
      <w:r w:rsidR="00156139" w:rsidRPr="00687336">
        <w:rPr>
          <w:rFonts w:asciiTheme="majorHAnsi" w:hAnsiTheme="majorHAnsi"/>
          <w:b/>
          <w:sz w:val="28"/>
        </w:rPr>
        <w:t>3</w:t>
      </w:r>
    </w:p>
    <w:p w14:paraId="5CD3B705" w14:textId="77777777" w:rsidR="00047F63" w:rsidRPr="00687336" w:rsidRDefault="00501073" w:rsidP="00851E5C">
      <w:pPr>
        <w:spacing w:after="0" w:line="360" w:lineRule="auto"/>
        <w:jc w:val="center"/>
        <w:rPr>
          <w:rFonts w:asciiTheme="majorHAnsi" w:hAnsiTheme="majorHAnsi"/>
          <w:b/>
          <w:bCs/>
          <w:sz w:val="28"/>
        </w:rPr>
      </w:pPr>
      <w:r w:rsidRPr="00687336">
        <w:rPr>
          <w:rFonts w:asciiTheme="majorHAnsi" w:hAnsiTheme="majorHAnsi"/>
          <w:b/>
          <w:bCs/>
          <w:sz w:val="28"/>
        </w:rPr>
        <w:t>ON</w:t>
      </w:r>
      <w:r w:rsidR="007C2AF7" w:rsidRPr="00687336">
        <w:rPr>
          <w:rFonts w:asciiTheme="majorHAnsi" w:hAnsiTheme="majorHAnsi"/>
          <w:b/>
          <w:bCs/>
          <w:sz w:val="28"/>
        </w:rPr>
        <w:t xml:space="preserve"> </w:t>
      </w:r>
      <w:r w:rsidR="00641758" w:rsidRPr="00687336">
        <w:rPr>
          <w:rFonts w:asciiTheme="majorHAnsi" w:hAnsiTheme="majorHAnsi"/>
          <w:b/>
          <w:bCs/>
          <w:sz w:val="28"/>
        </w:rPr>
        <w:t xml:space="preserve">TRUE UP </w:t>
      </w:r>
      <w:r w:rsidR="00F23D64" w:rsidRPr="00687336">
        <w:rPr>
          <w:rFonts w:asciiTheme="majorHAnsi" w:hAnsiTheme="majorHAnsi"/>
          <w:b/>
          <w:bCs/>
          <w:sz w:val="28"/>
        </w:rPr>
        <w:t xml:space="preserve">OF </w:t>
      </w:r>
      <w:r w:rsidR="006C25AC" w:rsidRPr="00687336">
        <w:rPr>
          <w:rFonts w:asciiTheme="majorHAnsi" w:hAnsiTheme="majorHAnsi"/>
          <w:b/>
          <w:bCs/>
          <w:sz w:val="28"/>
        </w:rPr>
        <w:t xml:space="preserve">GENERATION </w:t>
      </w:r>
      <w:r w:rsidR="00641758" w:rsidRPr="00687336">
        <w:rPr>
          <w:rFonts w:asciiTheme="majorHAnsi" w:hAnsiTheme="majorHAnsi"/>
          <w:b/>
          <w:bCs/>
          <w:sz w:val="28"/>
        </w:rPr>
        <w:t xml:space="preserve">BUSINESS FOR </w:t>
      </w:r>
    </w:p>
    <w:p w14:paraId="412123F1" w14:textId="77777777" w:rsidR="003B27A0" w:rsidRPr="00687336" w:rsidRDefault="00641758" w:rsidP="00851E5C">
      <w:pPr>
        <w:spacing w:after="0" w:line="360" w:lineRule="auto"/>
        <w:jc w:val="center"/>
        <w:rPr>
          <w:rFonts w:asciiTheme="majorHAnsi" w:hAnsiTheme="majorHAnsi"/>
          <w:b/>
          <w:bCs/>
          <w:sz w:val="28"/>
        </w:rPr>
      </w:pPr>
      <w:r w:rsidRPr="00687336">
        <w:rPr>
          <w:rFonts w:asciiTheme="majorHAnsi" w:hAnsiTheme="majorHAnsi"/>
          <w:b/>
          <w:bCs/>
          <w:sz w:val="28"/>
        </w:rPr>
        <w:t xml:space="preserve">FY </w:t>
      </w:r>
      <w:r w:rsidR="00156139" w:rsidRPr="00687336">
        <w:rPr>
          <w:rFonts w:asciiTheme="majorHAnsi" w:hAnsiTheme="majorHAnsi"/>
          <w:b/>
          <w:bCs/>
          <w:sz w:val="28"/>
        </w:rPr>
        <w:t>2020-21</w:t>
      </w:r>
    </w:p>
    <w:p w14:paraId="2F6CA852" w14:textId="77777777" w:rsidR="005262DF" w:rsidRPr="008675CA" w:rsidRDefault="007C2AF7" w:rsidP="00851E5C">
      <w:pPr>
        <w:spacing w:after="0" w:line="360" w:lineRule="auto"/>
        <w:jc w:val="center"/>
        <w:rPr>
          <w:rFonts w:asciiTheme="majorHAnsi" w:hAnsiTheme="majorHAnsi"/>
          <w:b/>
          <w:bCs/>
        </w:rPr>
      </w:pPr>
      <w:r w:rsidRPr="008675CA">
        <w:rPr>
          <w:rFonts w:asciiTheme="majorHAnsi" w:hAnsiTheme="majorHAnsi"/>
          <w:b/>
          <w:bCs/>
        </w:rPr>
        <w:t xml:space="preserve"> </w:t>
      </w:r>
    </w:p>
    <w:p w14:paraId="76822E79" w14:textId="77777777" w:rsidR="00641758" w:rsidRPr="008675CA" w:rsidRDefault="00641758" w:rsidP="00BF0F3C">
      <w:pPr>
        <w:jc w:val="center"/>
        <w:rPr>
          <w:rFonts w:asciiTheme="majorHAnsi" w:hAnsiTheme="majorHAnsi"/>
          <w:b/>
        </w:rPr>
      </w:pPr>
    </w:p>
    <w:p w14:paraId="7B3DCC3E" w14:textId="77777777" w:rsidR="00641758" w:rsidRPr="008675CA" w:rsidRDefault="00641758" w:rsidP="00BF0F3C">
      <w:pPr>
        <w:jc w:val="center"/>
        <w:rPr>
          <w:rFonts w:asciiTheme="majorHAnsi" w:hAnsiTheme="majorHAnsi"/>
          <w:b/>
        </w:rPr>
      </w:pPr>
    </w:p>
    <w:p w14:paraId="0CD16322" w14:textId="77777777" w:rsidR="00501073" w:rsidRPr="008675CA" w:rsidRDefault="00501073" w:rsidP="00BF0F3C">
      <w:pPr>
        <w:jc w:val="center"/>
        <w:rPr>
          <w:rFonts w:asciiTheme="majorHAnsi" w:hAnsiTheme="majorHAnsi"/>
        </w:rPr>
      </w:pPr>
    </w:p>
    <w:p w14:paraId="57D4C586" w14:textId="77777777" w:rsidR="00501073" w:rsidRPr="008675CA" w:rsidRDefault="00501073" w:rsidP="00BF0F3C">
      <w:pPr>
        <w:jc w:val="center"/>
        <w:rPr>
          <w:rFonts w:asciiTheme="majorHAnsi" w:hAnsiTheme="majorHAnsi"/>
        </w:rPr>
      </w:pPr>
      <w:r w:rsidRPr="008675CA">
        <w:rPr>
          <w:rFonts w:asciiTheme="majorHAnsi" w:hAnsiTheme="majorHAnsi"/>
        </w:rPr>
        <w:t>FILED BY</w:t>
      </w:r>
    </w:p>
    <w:p w14:paraId="18AA8C09" w14:textId="77777777" w:rsidR="00501073" w:rsidRPr="008675CA" w:rsidRDefault="00501073" w:rsidP="00BF0F3C">
      <w:pPr>
        <w:jc w:val="center"/>
        <w:rPr>
          <w:rFonts w:asciiTheme="majorHAnsi" w:hAnsiTheme="majorHAnsi"/>
        </w:rPr>
      </w:pPr>
      <w:r w:rsidRPr="008675CA">
        <w:rPr>
          <w:rFonts w:asciiTheme="majorHAnsi" w:hAnsiTheme="majorHAnsi" w:cstheme="minorHAnsi"/>
          <w:b/>
          <w:smallCaps/>
          <w:noProof/>
          <w:lang w:val="en-IN" w:eastAsia="en-IN"/>
        </w:rPr>
        <w:drawing>
          <wp:inline distT="0" distB="0" distL="0" distR="0" wp14:anchorId="550A1F10" wp14:editId="005696BD">
            <wp:extent cx="2290076" cy="1828800"/>
            <wp:effectExtent l="0" t="0" r="0" b="0"/>
            <wp:docPr id="3" name="Picture 3" descr="C:\MAIN\Work\Meghalaya Retainership\Tariff petition\GEN Final\MePGCL Official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MAIN\Work\Meghalaya Retainership\Tariff petition\GEN Final\MePGCL Official LOGO.b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30597" cy="1861159"/>
                    </a:xfrm>
                    <a:prstGeom prst="rect">
                      <a:avLst/>
                    </a:prstGeom>
                    <a:noFill/>
                    <a:ln>
                      <a:noFill/>
                    </a:ln>
                  </pic:spPr>
                </pic:pic>
              </a:graphicData>
            </a:graphic>
          </wp:inline>
        </w:drawing>
      </w:r>
    </w:p>
    <w:p w14:paraId="61CAED64" w14:textId="77777777" w:rsidR="00501073" w:rsidRPr="008675CA" w:rsidRDefault="00501073" w:rsidP="00BF0F3C">
      <w:pPr>
        <w:jc w:val="center"/>
        <w:rPr>
          <w:rFonts w:asciiTheme="majorHAnsi" w:hAnsiTheme="majorHAnsi"/>
        </w:rPr>
      </w:pPr>
      <w:r w:rsidRPr="008675CA">
        <w:rPr>
          <w:rFonts w:asciiTheme="majorHAnsi" w:hAnsiTheme="majorHAnsi"/>
        </w:rPr>
        <w:t>MEGHALAYA POWER GENERATION CORPORATION LIMITED</w:t>
      </w:r>
    </w:p>
    <w:p w14:paraId="4101F10A" w14:textId="77777777" w:rsidR="007A5916" w:rsidRPr="008675CA" w:rsidRDefault="00501073" w:rsidP="00024287">
      <w:pPr>
        <w:jc w:val="center"/>
        <w:rPr>
          <w:rFonts w:asciiTheme="majorHAnsi" w:hAnsiTheme="majorHAnsi"/>
        </w:rPr>
      </w:pPr>
      <w:r w:rsidRPr="008675CA">
        <w:rPr>
          <w:rFonts w:asciiTheme="majorHAnsi" w:hAnsiTheme="majorHAnsi"/>
        </w:rPr>
        <w:t>Lu</w:t>
      </w:r>
      <w:r w:rsidR="00880EF8" w:rsidRPr="008675CA">
        <w:rPr>
          <w:rFonts w:asciiTheme="majorHAnsi" w:hAnsiTheme="majorHAnsi"/>
        </w:rPr>
        <w:t>m</w:t>
      </w:r>
      <w:r w:rsidRPr="008675CA">
        <w:rPr>
          <w:rFonts w:asciiTheme="majorHAnsi" w:hAnsiTheme="majorHAnsi"/>
        </w:rPr>
        <w:t>Jingshai, Short Round Road, Shillong - 793 001</w:t>
      </w:r>
    </w:p>
    <w:p w14:paraId="0288F310" w14:textId="77777777" w:rsidR="008C6D6B" w:rsidRPr="008675CA" w:rsidRDefault="008C6D6B" w:rsidP="00BF0F3C">
      <w:pPr>
        <w:jc w:val="both"/>
        <w:rPr>
          <w:rFonts w:asciiTheme="majorHAnsi" w:hAnsiTheme="majorHAnsi"/>
        </w:rPr>
        <w:sectPr w:rsidR="008C6D6B" w:rsidRPr="008675CA" w:rsidSect="008B30DF">
          <w:headerReference w:type="default" r:id="rId10"/>
          <w:footerReference w:type="default" r:id="rId11"/>
          <w:pgSz w:w="12240" w:h="15840"/>
          <w:pgMar w:top="1440" w:right="1440" w:bottom="1440" w:left="1440" w:header="720" w:footer="720"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pgNumType w:chapStyle="2"/>
          <w:cols w:space="720"/>
          <w:docGrid w:linePitch="360"/>
        </w:sectPr>
      </w:pPr>
    </w:p>
    <w:p w14:paraId="5AE16BE7" w14:textId="77777777" w:rsidR="0067602A" w:rsidRPr="008675CA" w:rsidRDefault="0067602A" w:rsidP="0067602A">
      <w:pPr>
        <w:spacing w:before="120" w:after="120"/>
        <w:rPr>
          <w:rFonts w:asciiTheme="majorHAnsi" w:hAnsiTheme="majorHAnsi" w:cstheme="minorHAnsi"/>
          <w:b/>
          <w:bCs/>
        </w:rPr>
      </w:pPr>
      <w:r w:rsidRPr="008675CA">
        <w:rPr>
          <w:rFonts w:asciiTheme="majorHAnsi" w:hAnsiTheme="majorHAnsi" w:cstheme="minorHAnsi"/>
          <w:b/>
          <w:bCs/>
        </w:rPr>
        <w:lastRenderedPageBreak/>
        <w:t>BEFORE THE HON’BLE MEGHALAYA STATE ELECTRICITY REGULATORY COMMISSION</w:t>
      </w:r>
    </w:p>
    <w:p w14:paraId="14F55484" w14:textId="77777777" w:rsidR="0067602A" w:rsidRPr="008675CA" w:rsidRDefault="0067602A" w:rsidP="0067602A">
      <w:pPr>
        <w:spacing w:before="120" w:after="120"/>
        <w:rPr>
          <w:rFonts w:asciiTheme="majorHAnsi" w:hAnsiTheme="majorHAnsi" w:cstheme="minorHAnsi"/>
          <w:b/>
          <w:bCs/>
        </w:rPr>
      </w:pPr>
      <w:r w:rsidRPr="008675CA">
        <w:rPr>
          <w:rFonts w:asciiTheme="majorHAnsi" w:hAnsiTheme="majorHAnsi"/>
        </w:rPr>
        <w:t>At its office at Lower Lachumiere, Shillong – 793001</w:t>
      </w:r>
    </w:p>
    <w:p w14:paraId="22B7FD09" w14:textId="77777777" w:rsidR="0067602A" w:rsidRPr="008675CA" w:rsidRDefault="0067602A" w:rsidP="0067602A">
      <w:pPr>
        <w:autoSpaceDE w:val="0"/>
        <w:autoSpaceDN w:val="0"/>
        <w:adjustRightInd w:val="0"/>
        <w:spacing w:before="120" w:after="120"/>
        <w:ind w:left="5760"/>
        <w:jc w:val="right"/>
        <w:rPr>
          <w:rFonts w:asciiTheme="majorHAnsi" w:hAnsiTheme="majorHAnsi" w:cstheme="minorHAnsi"/>
          <w:bCs/>
        </w:rPr>
      </w:pPr>
    </w:p>
    <w:p w14:paraId="0772F4C6" w14:textId="77777777" w:rsidR="0067602A" w:rsidRPr="008675CA" w:rsidRDefault="0067602A" w:rsidP="0067602A">
      <w:pPr>
        <w:autoSpaceDE w:val="0"/>
        <w:autoSpaceDN w:val="0"/>
        <w:adjustRightInd w:val="0"/>
        <w:spacing w:before="120" w:after="120"/>
        <w:ind w:left="5760"/>
        <w:jc w:val="right"/>
        <w:rPr>
          <w:rFonts w:asciiTheme="majorHAnsi" w:hAnsiTheme="majorHAnsi" w:cstheme="minorHAnsi"/>
        </w:rPr>
      </w:pPr>
      <w:r w:rsidRPr="008675CA">
        <w:rPr>
          <w:rFonts w:asciiTheme="majorHAnsi" w:hAnsiTheme="majorHAnsi" w:cstheme="minorHAnsi"/>
        </w:rPr>
        <w:t>FILE / PETITION NO………</w:t>
      </w:r>
    </w:p>
    <w:p w14:paraId="602513BD" w14:textId="77777777" w:rsidR="0067602A" w:rsidRPr="008675CA" w:rsidRDefault="0067602A" w:rsidP="0067602A">
      <w:pPr>
        <w:autoSpaceDE w:val="0"/>
        <w:autoSpaceDN w:val="0"/>
        <w:adjustRightInd w:val="0"/>
        <w:spacing w:before="120" w:after="120"/>
        <w:rPr>
          <w:rFonts w:asciiTheme="majorHAnsi" w:hAnsiTheme="majorHAnsi" w:cstheme="minorHAnsi"/>
        </w:rPr>
      </w:pPr>
      <w:r w:rsidRPr="008675CA">
        <w:rPr>
          <w:rFonts w:asciiTheme="majorHAnsi" w:hAnsiTheme="majorHAnsi" w:cstheme="minorHAnsi"/>
        </w:rPr>
        <w:t>IN THE MATTER OF</w:t>
      </w:r>
    </w:p>
    <w:p w14:paraId="09732244" w14:textId="47DFF499" w:rsidR="0067602A" w:rsidRPr="008675CA" w:rsidRDefault="0067602A" w:rsidP="0067602A">
      <w:pPr>
        <w:spacing w:before="120" w:after="120"/>
        <w:jc w:val="both"/>
        <w:rPr>
          <w:rFonts w:asciiTheme="majorHAnsi" w:hAnsiTheme="majorHAnsi"/>
        </w:rPr>
      </w:pPr>
      <w:r w:rsidRPr="008675CA">
        <w:rPr>
          <w:rFonts w:asciiTheme="majorHAnsi" w:hAnsiTheme="majorHAnsi"/>
        </w:rPr>
        <w:t>Review Petition filed under Clause 22 of the MSERC (MULTI YEAR TARIFF) REGULATIONS, 2014, Clause 21 OF MSERC (Conduct o</w:t>
      </w:r>
      <w:r w:rsidR="00F23D64" w:rsidRPr="008675CA">
        <w:rPr>
          <w:rFonts w:asciiTheme="majorHAnsi" w:hAnsiTheme="majorHAnsi"/>
        </w:rPr>
        <w:t>f Business) Regulations 2007</w:t>
      </w:r>
      <w:r w:rsidRPr="008675CA">
        <w:rPr>
          <w:rFonts w:asciiTheme="majorHAnsi" w:hAnsiTheme="majorHAnsi"/>
        </w:rPr>
        <w:t xml:space="preserve"> and section 94 and 181 of Electricity Act 2003, on True Up Order of FY </w:t>
      </w:r>
      <w:r w:rsidR="00852511" w:rsidRPr="008675CA">
        <w:rPr>
          <w:rFonts w:asciiTheme="majorHAnsi" w:hAnsiTheme="majorHAnsi"/>
        </w:rPr>
        <w:t>2020-21</w:t>
      </w:r>
      <w:r w:rsidR="00047F63" w:rsidRPr="008675CA">
        <w:rPr>
          <w:rFonts w:asciiTheme="majorHAnsi" w:hAnsiTheme="majorHAnsi"/>
        </w:rPr>
        <w:t xml:space="preserve"> </w:t>
      </w:r>
      <w:r w:rsidRPr="008675CA">
        <w:rPr>
          <w:rFonts w:asciiTheme="majorHAnsi" w:hAnsiTheme="majorHAnsi"/>
        </w:rPr>
        <w:t xml:space="preserve">of Meghalaya Power Generation </w:t>
      </w:r>
      <w:r w:rsidR="00880EF8" w:rsidRPr="008675CA">
        <w:rPr>
          <w:rFonts w:asciiTheme="majorHAnsi" w:hAnsiTheme="majorHAnsi"/>
        </w:rPr>
        <w:t>Corporation</w:t>
      </w:r>
      <w:r w:rsidRPr="008675CA">
        <w:rPr>
          <w:rFonts w:asciiTheme="majorHAnsi" w:hAnsiTheme="majorHAnsi"/>
        </w:rPr>
        <w:t xml:space="preserve"> Limited issued by the MSERC on </w:t>
      </w:r>
      <w:r w:rsidR="00CD427E" w:rsidRPr="008675CA">
        <w:rPr>
          <w:rFonts w:asciiTheme="majorHAnsi" w:hAnsiTheme="majorHAnsi"/>
        </w:rPr>
        <w:t>22</w:t>
      </w:r>
      <w:r w:rsidR="00D7003E" w:rsidRPr="008675CA">
        <w:rPr>
          <w:rFonts w:asciiTheme="majorHAnsi" w:hAnsiTheme="majorHAnsi"/>
          <w:vertAlign w:val="superscript"/>
        </w:rPr>
        <w:t>nd</w:t>
      </w:r>
      <w:r w:rsidR="00852511" w:rsidRPr="008675CA">
        <w:rPr>
          <w:rFonts w:asciiTheme="majorHAnsi" w:hAnsiTheme="majorHAnsi"/>
          <w:vertAlign w:val="superscript"/>
        </w:rPr>
        <w:t xml:space="preserve"> </w:t>
      </w:r>
      <w:r w:rsidR="00852511" w:rsidRPr="008675CA">
        <w:rPr>
          <w:rFonts w:asciiTheme="majorHAnsi" w:hAnsiTheme="majorHAnsi"/>
        </w:rPr>
        <w:t>March</w:t>
      </w:r>
      <w:r w:rsidR="00CD427E" w:rsidRPr="008675CA">
        <w:rPr>
          <w:rFonts w:asciiTheme="majorHAnsi" w:hAnsiTheme="majorHAnsi"/>
        </w:rPr>
        <w:t>, 202</w:t>
      </w:r>
      <w:r w:rsidR="00852511" w:rsidRPr="008675CA">
        <w:rPr>
          <w:rFonts w:asciiTheme="majorHAnsi" w:hAnsiTheme="majorHAnsi"/>
        </w:rPr>
        <w:t>3</w:t>
      </w:r>
      <w:r w:rsidR="006B53E2" w:rsidRPr="008675CA">
        <w:rPr>
          <w:rFonts w:asciiTheme="majorHAnsi" w:hAnsiTheme="majorHAnsi"/>
        </w:rPr>
        <w:t>.</w:t>
      </w:r>
    </w:p>
    <w:p w14:paraId="20F62DB2" w14:textId="77777777" w:rsidR="0067602A" w:rsidRPr="008675CA" w:rsidRDefault="0067602A" w:rsidP="0067602A">
      <w:pPr>
        <w:spacing w:before="120" w:after="120"/>
        <w:jc w:val="both"/>
        <w:rPr>
          <w:rFonts w:asciiTheme="majorHAnsi" w:hAnsiTheme="majorHAnsi" w:cstheme="minorHAnsi"/>
        </w:rPr>
      </w:pPr>
    </w:p>
    <w:p w14:paraId="1F43D8D6" w14:textId="77777777" w:rsidR="0067602A" w:rsidRPr="008675CA" w:rsidRDefault="0067602A" w:rsidP="0067602A">
      <w:pPr>
        <w:spacing w:before="120" w:after="120"/>
        <w:jc w:val="both"/>
        <w:rPr>
          <w:rFonts w:asciiTheme="majorHAnsi" w:hAnsiTheme="majorHAnsi" w:cstheme="minorHAnsi"/>
        </w:rPr>
      </w:pPr>
      <w:r w:rsidRPr="008675CA">
        <w:rPr>
          <w:rFonts w:asciiTheme="majorHAnsi" w:hAnsiTheme="majorHAnsi" w:cstheme="minorHAnsi"/>
        </w:rPr>
        <w:t xml:space="preserve">AND IN THE MATTER OF </w:t>
      </w:r>
    </w:p>
    <w:p w14:paraId="08E2550C" w14:textId="77777777" w:rsidR="0067602A" w:rsidRPr="008675CA" w:rsidRDefault="0067602A" w:rsidP="0067602A">
      <w:pPr>
        <w:spacing w:before="120" w:after="120"/>
        <w:jc w:val="both"/>
        <w:rPr>
          <w:rFonts w:asciiTheme="majorHAnsi" w:hAnsiTheme="majorHAnsi" w:cstheme="minorHAnsi"/>
        </w:rPr>
      </w:pPr>
      <w:r w:rsidRPr="008675CA">
        <w:rPr>
          <w:rFonts w:asciiTheme="majorHAnsi" w:hAnsiTheme="majorHAnsi" w:cstheme="minorHAnsi"/>
        </w:rPr>
        <w:t>MEGHALAYA POWER GENERATION CORPORATION LIMITED, LUMJINGSHAI, SHILLONG – 793001, MEGHALAYA</w:t>
      </w:r>
    </w:p>
    <w:p w14:paraId="6DE575E3" w14:textId="77777777" w:rsidR="0067602A" w:rsidRPr="008675CA" w:rsidRDefault="0067602A" w:rsidP="0067602A">
      <w:pPr>
        <w:pStyle w:val="Style"/>
        <w:spacing w:before="120" w:after="120" w:line="276" w:lineRule="auto"/>
        <w:jc w:val="right"/>
        <w:rPr>
          <w:rFonts w:asciiTheme="majorHAnsi" w:hAnsiTheme="majorHAnsi" w:cstheme="minorHAnsi"/>
          <w:b/>
          <w:sz w:val="22"/>
          <w:szCs w:val="22"/>
        </w:rPr>
      </w:pPr>
      <w:r w:rsidRPr="008675CA">
        <w:rPr>
          <w:rFonts w:asciiTheme="majorHAnsi" w:hAnsiTheme="majorHAnsi" w:cstheme="minorHAnsi"/>
          <w:b/>
          <w:sz w:val="22"/>
          <w:szCs w:val="22"/>
        </w:rPr>
        <w:t>PETITIONER</w:t>
      </w:r>
    </w:p>
    <w:p w14:paraId="16E87F14" w14:textId="77777777" w:rsidR="0067602A" w:rsidRPr="008675CA" w:rsidRDefault="0067602A" w:rsidP="0067602A">
      <w:pPr>
        <w:spacing w:before="120" w:after="120"/>
        <w:rPr>
          <w:rFonts w:asciiTheme="majorHAnsi" w:hAnsiTheme="majorHAnsi" w:cstheme="minorHAnsi"/>
        </w:rPr>
      </w:pPr>
    </w:p>
    <w:p w14:paraId="705FCE3F" w14:textId="77777777" w:rsidR="0067602A" w:rsidRPr="008675CA" w:rsidRDefault="0067602A" w:rsidP="00CC463D">
      <w:pPr>
        <w:spacing w:before="120" w:after="120" w:line="276" w:lineRule="auto"/>
        <w:jc w:val="both"/>
        <w:rPr>
          <w:rFonts w:asciiTheme="majorHAnsi" w:hAnsiTheme="majorHAnsi" w:cstheme="minorHAnsi"/>
        </w:rPr>
      </w:pPr>
      <w:r w:rsidRPr="008675CA">
        <w:rPr>
          <w:rFonts w:asciiTheme="majorHAnsi" w:hAnsiTheme="majorHAnsi" w:cstheme="minorHAnsi"/>
        </w:rPr>
        <w:t>THE PETITIONER, UNDER SECTIONS 94, 181 OF THE ELECTRICITY ACT 2003, CLAUSE 21 OF MSERC (CONDU</w:t>
      </w:r>
      <w:r w:rsidR="00F23D64" w:rsidRPr="008675CA">
        <w:rPr>
          <w:rFonts w:asciiTheme="majorHAnsi" w:hAnsiTheme="majorHAnsi" w:cstheme="minorHAnsi"/>
        </w:rPr>
        <w:t>CT OF BUSINESS) REGULATIONS 2007</w:t>
      </w:r>
      <w:r w:rsidRPr="008675CA">
        <w:rPr>
          <w:rFonts w:asciiTheme="majorHAnsi" w:hAnsiTheme="majorHAnsi" w:cstheme="minorHAnsi"/>
        </w:rPr>
        <w:t xml:space="preserve"> AND CLAUSE 22 OF MSERC (MULTI YEAR TARIFF) REGULATI</w:t>
      </w:r>
      <w:r w:rsidR="00F23D64" w:rsidRPr="008675CA">
        <w:rPr>
          <w:rFonts w:asciiTheme="majorHAnsi" w:hAnsiTheme="majorHAnsi" w:cstheme="minorHAnsi"/>
        </w:rPr>
        <w:t>ONS, 2014, FILES FOR INITIATION</w:t>
      </w:r>
      <w:r w:rsidRPr="008675CA">
        <w:rPr>
          <w:rFonts w:asciiTheme="majorHAnsi" w:hAnsiTheme="majorHAnsi" w:cstheme="minorHAnsi"/>
        </w:rPr>
        <w:t xml:space="preserve"> OF PROCEEDINGS BY THE HON</w:t>
      </w:r>
      <w:r w:rsidR="00F23D64" w:rsidRPr="008675CA">
        <w:rPr>
          <w:rFonts w:asciiTheme="majorHAnsi" w:hAnsiTheme="majorHAnsi" w:cstheme="minorHAnsi"/>
        </w:rPr>
        <w:t>’</w:t>
      </w:r>
      <w:r w:rsidRPr="008675CA">
        <w:rPr>
          <w:rFonts w:asciiTheme="majorHAnsi" w:hAnsiTheme="majorHAnsi" w:cstheme="minorHAnsi"/>
        </w:rPr>
        <w:t xml:space="preserve">BLE COMMISSION FOR REVIEWING THE TRUE UP ORDER </w:t>
      </w:r>
      <w:r w:rsidR="00D7003E" w:rsidRPr="008675CA">
        <w:rPr>
          <w:rFonts w:asciiTheme="majorHAnsi" w:hAnsiTheme="majorHAnsi" w:cstheme="minorHAnsi"/>
        </w:rPr>
        <w:t>DATED 22</w:t>
      </w:r>
      <w:r w:rsidR="00D7003E" w:rsidRPr="008675CA">
        <w:rPr>
          <w:rFonts w:asciiTheme="majorHAnsi" w:hAnsiTheme="majorHAnsi" w:cstheme="minorHAnsi"/>
          <w:vertAlign w:val="superscript"/>
        </w:rPr>
        <w:t>ND</w:t>
      </w:r>
      <w:r w:rsidR="00D7003E" w:rsidRPr="008675CA">
        <w:rPr>
          <w:rFonts w:asciiTheme="majorHAnsi" w:hAnsiTheme="majorHAnsi" w:cstheme="minorHAnsi"/>
        </w:rPr>
        <w:t xml:space="preserve"> </w:t>
      </w:r>
      <w:r w:rsidR="00852511" w:rsidRPr="008675CA">
        <w:rPr>
          <w:rFonts w:asciiTheme="majorHAnsi" w:hAnsiTheme="majorHAnsi" w:cstheme="minorHAnsi"/>
        </w:rPr>
        <w:t>MARCH</w:t>
      </w:r>
      <w:r w:rsidR="00D7003E" w:rsidRPr="008675CA">
        <w:rPr>
          <w:rFonts w:asciiTheme="majorHAnsi" w:hAnsiTheme="majorHAnsi" w:cstheme="minorHAnsi"/>
        </w:rPr>
        <w:t>, 202</w:t>
      </w:r>
      <w:r w:rsidR="00852511" w:rsidRPr="008675CA">
        <w:rPr>
          <w:rFonts w:asciiTheme="majorHAnsi" w:hAnsiTheme="majorHAnsi" w:cstheme="minorHAnsi"/>
        </w:rPr>
        <w:t xml:space="preserve">3 </w:t>
      </w:r>
      <w:r w:rsidRPr="008675CA">
        <w:rPr>
          <w:rFonts w:asciiTheme="majorHAnsi" w:hAnsiTheme="majorHAnsi" w:cstheme="minorHAnsi"/>
        </w:rPr>
        <w:t>F</w:t>
      </w:r>
      <w:r w:rsidR="00D7003E" w:rsidRPr="008675CA">
        <w:rPr>
          <w:rFonts w:asciiTheme="majorHAnsi" w:hAnsiTheme="majorHAnsi" w:cstheme="minorHAnsi"/>
        </w:rPr>
        <w:t>OR</w:t>
      </w:r>
      <w:r w:rsidRPr="008675CA">
        <w:rPr>
          <w:rFonts w:asciiTheme="majorHAnsi" w:hAnsiTheme="majorHAnsi" w:cstheme="minorHAnsi"/>
        </w:rPr>
        <w:t xml:space="preserve"> FY </w:t>
      </w:r>
      <w:r w:rsidR="00852511" w:rsidRPr="008675CA">
        <w:rPr>
          <w:rFonts w:asciiTheme="majorHAnsi" w:hAnsiTheme="majorHAnsi" w:cstheme="minorHAnsi"/>
        </w:rPr>
        <w:t>2020-21</w:t>
      </w:r>
      <w:r w:rsidR="00D7003E" w:rsidRPr="008675CA">
        <w:rPr>
          <w:rFonts w:asciiTheme="majorHAnsi" w:hAnsiTheme="majorHAnsi" w:cstheme="minorHAnsi"/>
        </w:rPr>
        <w:t xml:space="preserve"> </w:t>
      </w:r>
      <w:r w:rsidRPr="008675CA">
        <w:rPr>
          <w:rFonts w:asciiTheme="majorHAnsi" w:hAnsiTheme="majorHAnsi" w:cstheme="minorHAnsi"/>
        </w:rPr>
        <w:t>OF MEGHALAYA POWER GENERATION</w:t>
      </w:r>
      <w:r w:rsidR="00F23D64" w:rsidRPr="008675CA">
        <w:rPr>
          <w:rFonts w:asciiTheme="majorHAnsi" w:hAnsiTheme="majorHAnsi" w:cstheme="minorHAnsi"/>
        </w:rPr>
        <w:t xml:space="preserve"> COMPANY LIMITED (herein</w:t>
      </w:r>
      <w:r w:rsidRPr="008675CA">
        <w:rPr>
          <w:rFonts w:asciiTheme="majorHAnsi" w:hAnsiTheme="majorHAnsi" w:cstheme="minorHAnsi"/>
        </w:rPr>
        <w:t>after referred to as “MePGCL”)</w:t>
      </w:r>
    </w:p>
    <w:p w14:paraId="267838A1" w14:textId="77777777" w:rsidR="0067602A" w:rsidRPr="008675CA" w:rsidRDefault="0067602A" w:rsidP="0067602A">
      <w:pPr>
        <w:spacing w:before="120" w:after="120"/>
        <w:rPr>
          <w:rFonts w:asciiTheme="majorHAnsi" w:hAnsiTheme="majorHAnsi" w:cstheme="minorHAnsi"/>
          <w:i/>
        </w:rPr>
      </w:pPr>
    </w:p>
    <w:p w14:paraId="6D214822" w14:textId="77777777" w:rsidR="0067602A" w:rsidRPr="008675CA" w:rsidRDefault="0067602A" w:rsidP="0067602A">
      <w:pPr>
        <w:spacing w:before="120" w:after="120"/>
        <w:rPr>
          <w:rFonts w:asciiTheme="majorHAnsi" w:hAnsiTheme="majorHAnsi" w:cstheme="minorHAnsi"/>
          <w:i/>
        </w:rPr>
      </w:pPr>
      <w:r w:rsidRPr="008675CA">
        <w:rPr>
          <w:rFonts w:asciiTheme="majorHAnsi" w:hAnsiTheme="majorHAnsi" w:cstheme="minorHAnsi"/>
          <w:i/>
        </w:rPr>
        <w:t>The Petitioner respectfully submits as under:</w:t>
      </w:r>
    </w:p>
    <w:p w14:paraId="30D943C7" w14:textId="77777777" w:rsidR="0067602A" w:rsidRPr="006B51B9" w:rsidRDefault="0067602A" w:rsidP="0067602A">
      <w:pPr>
        <w:numPr>
          <w:ilvl w:val="0"/>
          <w:numId w:val="1"/>
        </w:numPr>
        <w:autoSpaceDE w:val="0"/>
        <w:autoSpaceDN w:val="0"/>
        <w:adjustRightInd w:val="0"/>
        <w:spacing w:after="0" w:line="360" w:lineRule="auto"/>
        <w:jc w:val="both"/>
        <w:rPr>
          <w:rFonts w:asciiTheme="majorHAnsi" w:hAnsiTheme="majorHAnsi"/>
          <w:lang w:val="en-GB"/>
        </w:rPr>
      </w:pPr>
      <w:r w:rsidRPr="006B51B9">
        <w:rPr>
          <w:rFonts w:asciiTheme="majorHAnsi" w:hAnsiTheme="majorHAnsi"/>
          <w:lang w:val="en-GB"/>
        </w:rPr>
        <w:t xml:space="preserve">Based on the provisions of Regulation 11 of the Tariff Regulations, 2014, MePGCL had filed the petition for approving the true-up of FY </w:t>
      </w:r>
      <w:r w:rsidR="00CD427E" w:rsidRPr="006B51B9">
        <w:rPr>
          <w:rFonts w:asciiTheme="majorHAnsi" w:hAnsiTheme="majorHAnsi"/>
          <w:lang w:val="en-GB"/>
        </w:rPr>
        <w:t>2</w:t>
      </w:r>
      <w:r w:rsidR="00852511" w:rsidRPr="006B51B9">
        <w:rPr>
          <w:rFonts w:asciiTheme="majorHAnsi" w:hAnsiTheme="majorHAnsi"/>
          <w:lang w:val="en-GB"/>
        </w:rPr>
        <w:t xml:space="preserve">020-21 </w:t>
      </w:r>
      <w:r w:rsidR="0057286D" w:rsidRPr="006B51B9">
        <w:rPr>
          <w:rFonts w:asciiTheme="majorHAnsi" w:hAnsiTheme="majorHAnsi"/>
          <w:lang w:val="en-GB"/>
        </w:rPr>
        <w:t>vide</w:t>
      </w:r>
      <w:r w:rsidRPr="006B51B9">
        <w:rPr>
          <w:rFonts w:asciiTheme="majorHAnsi" w:hAnsiTheme="majorHAnsi"/>
          <w:lang w:val="en-GB"/>
        </w:rPr>
        <w:t xml:space="preserve"> letter No </w:t>
      </w:r>
      <w:r w:rsidR="00A87F36" w:rsidRPr="006B51B9">
        <w:rPr>
          <w:rFonts w:asciiTheme="majorHAnsi" w:hAnsiTheme="majorHAnsi"/>
          <w:lang w:val="en-GB"/>
        </w:rPr>
        <w:t>MePGCL/D/GEN/M-43/2008/Pt- X</w:t>
      </w:r>
      <w:r w:rsidR="00852511" w:rsidRPr="006B51B9">
        <w:rPr>
          <w:rFonts w:asciiTheme="majorHAnsi" w:hAnsiTheme="majorHAnsi"/>
          <w:lang w:val="en-GB"/>
        </w:rPr>
        <w:t>IX</w:t>
      </w:r>
      <w:r w:rsidR="00CD427E" w:rsidRPr="006B51B9">
        <w:rPr>
          <w:rFonts w:asciiTheme="majorHAnsi" w:hAnsiTheme="majorHAnsi"/>
          <w:lang w:val="en-GB"/>
        </w:rPr>
        <w:t>/</w:t>
      </w:r>
      <w:r w:rsidR="00852511" w:rsidRPr="006B51B9">
        <w:rPr>
          <w:rFonts w:asciiTheme="majorHAnsi" w:hAnsiTheme="majorHAnsi"/>
          <w:lang w:val="en-GB"/>
        </w:rPr>
        <w:t>40</w:t>
      </w:r>
      <w:r w:rsidR="00D7003E" w:rsidRPr="006B51B9">
        <w:rPr>
          <w:rFonts w:asciiTheme="majorHAnsi" w:hAnsiTheme="majorHAnsi"/>
          <w:lang w:val="en-GB"/>
        </w:rPr>
        <w:t xml:space="preserve">, </w:t>
      </w:r>
      <w:r w:rsidRPr="006B51B9">
        <w:rPr>
          <w:rFonts w:asciiTheme="majorHAnsi" w:hAnsiTheme="majorHAnsi"/>
          <w:lang w:val="en-GB"/>
        </w:rPr>
        <w:t xml:space="preserve">dated </w:t>
      </w:r>
      <w:r w:rsidR="00A87F36" w:rsidRPr="006B51B9">
        <w:rPr>
          <w:rFonts w:asciiTheme="majorHAnsi" w:hAnsiTheme="majorHAnsi"/>
          <w:lang w:val="en-GB"/>
        </w:rPr>
        <w:t>30</w:t>
      </w:r>
      <w:r w:rsidR="00A87F36" w:rsidRPr="006B51B9">
        <w:rPr>
          <w:rFonts w:asciiTheme="majorHAnsi" w:hAnsiTheme="majorHAnsi"/>
          <w:vertAlign w:val="superscript"/>
          <w:lang w:val="en-GB"/>
        </w:rPr>
        <w:t>th</w:t>
      </w:r>
      <w:r w:rsidR="00852511" w:rsidRPr="006B51B9">
        <w:rPr>
          <w:rFonts w:asciiTheme="majorHAnsi" w:hAnsiTheme="majorHAnsi"/>
          <w:lang w:val="en-GB"/>
        </w:rPr>
        <w:t>November, 2022</w:t>
      </w:r>
    </w:p>
    <w:p w14:paraId="1A09F3D9" w14:textId="77777777" w:rsidR="00852511" w:rsidRPr="008675CA" w:rsidRDefault="0067602A" w:rsidP="00852511">
      <w:pPr>
        <w:numPr>
          <w:ilvl w:val="0"/>
          <w:numId w:val="1"/>
        </w:numPr>
        <w:autoSpaceDE w:val="0"/>
        <w:autoSpaceDN w:val="0"/>
        <w:adjustRightInd w:val="0"/>
        <w:spacing w:after="0" w:line="360" w:lineRule="auto"/>
        <w:jc w:val="both"/>
        <w:rPr>
          <w:rFonts w:asciiTheme="majorHAnsi" w:hAnsiTheme="majorHAnsi"/>
          <w:lang w:val="en-GB"/>
        </w:rPr>
      </w:pPr>
      <w:r w:rsidRPr="008675CA">
        <w:rPr>
          <w:rFonts w:asciiTheme="majorHAnsi" w:hAnsiTheme="majorHAnsi"/>
          <w:lang w:val="en-GB"/>
        </w:rPr>
        <w:t xml:space="preserve">After the filing of the </w:t>
      </w:r>
      <w:r w:rsidR="00A87F36" w:rsidRPr="008675CA">
        <w:rPr>
          <w:rFonts w:asciiTheme="majorHAnsi" w:hAnsiTheme="majorHAnsi"/>
          <w:lang w:val="en-GB"/>
        </w:rPr>
        <w:t>above petition</w:t>
      </w:r>
      <w:r w:rsidRPr="008675CA">
        <w:rPr>
          <w:rFonts w:asciiTheme="majorHAnsi" w:hAnsiTheme="majorHAnsi"/>
          <w:lang w:val="en-GB"/>
        </w:rPr>
        <w:t xml:space="preserve">, the Hon’ble Meghalaya State Electricity Regulatory Commission (hereinafter referred to as ‘MSERC’ or ‘the </w:t>
      </w:r>
      <w:r w:rsidR="003F2EBF" w:rsidRPr="008675CA">
        <w:rPr>
          <w:rFonts w:asciiTheme="majorHAnsi" w:hAnsiTheme="majorHAnsi"/>
          <w:lang w:val="en-GB"/>
        </w:rPr>
        <w:t xml:space="preserve">Hon’ble </w:t>
      </w:r>
      <w:r w:rsidRPr="008675CA">
        <w:rPr>
          <w:rFonts w:asciiTheme="majorHAnsi" w:hAnsiTheme="majorHAnsi"/>
          <w:lang w:val="en-GB"/>
        </w:rPr>
        <w:t xml:space="preserve">Commission’) issued the impugned order on </w:t>
      </w:r>
      <w:r w:rsidR="00CD427E" w:rsidRPr="008675CA">
        <w:rPr>
          <w:rFonts w:asciiTheme="majorHAnsi" w:hAnsiTheme="majorHAnsi"/>
          <w:lang w:val="en-GB"/>
        </w:rPr>
        <w:t>22</w:t>
      </w:r>
      <w:r w:rsidR="00CD427E" w:rsidRPr="008675CA">
        <w:rPr>
          <w:rFonts w:asciiTheme="majorHAnsi" w:hAnsiTheme="majorHAnsi"/>
          <w:vertAlign w:val="superscript"/>
          <w:lang w:val="en-GB"/>
        </w:rPr>
        <w:t>nd</w:t>
      </w:r>
      <w:r w:rsidR="00CD427E" w:rsidRPr="008675CA">
        <w:rPr>
          <w:rFonts w:asciiTheme="majorHAnsi" w:hAnsiTheme="majorHAnsi"/>
          <w:lang w:val="en-GB"/>
        </w:rPr>
        <w:t xml:space="preserve"> </w:t>
      </w:r>
      <w:r w:rsidR="00852511" w:rsidRPr="008675CA">
        <w:rPr>
          <w:rFonts w:asciiTheme="majorHAnsi" w:hAnsiTheme="majorHAnsi"/>
          <w:lang w:val="en-GB"/>
        </w:rPr>
        <w:t>March</w:t>
      </w:r>
      <w:r w:rsidR="00CD427E" w:rsidRPr="008675CA">
        <w:rPr>
          <w:rFonts w:asciiTheme="majorHAnsi" w:hAnsiTheme="majorHAnsi"/>
          <w:lang w:val="en-GB"/>
        </w:rPr>
        <w:t>, 202</w:t>
      </w:r>
      <w:r w:rsidR="00852511" w:rsidRPr="008675CA">
        <w:rPr>
          <w:rFonts w:asciiTheme="majorHAnsi" w:hAnsiTheme="majorHAnsi"/>
          <w:lang w:val="en-GB"/>
        </w:rPr>
        <w:t xml:space="preserve">3 </w:t>
      </w:r>
      <w:r w:rsidR="00962269" w:rsidRPr="008675CA">
        <w:rPr>
          <w:rFonts w:asciiTheme="majorHAnsi" w:hAnsiTheme="majorHAnsi"/>
          <w:lang w:val="en-GB"/>
        </w:rPr>
        <w:t>on True Up</w:t>
      </w:r>
      <w:r w:rsidR="00D7003E" w:rsidRPr="008675CA">
        <w:rPr>
          <w:rFonts w:asciiTheme="majorHAnsi" w:hAnsiTheme="majorHAnsi"/>
          <w:lang w:val="en-GB"/>
        </w:rPr>
        <w:t xml:space="preserve"> for FY </w:t>
      </w:r>
      <w:r w:rsidR="00852511" w:rsidRPr="008675CA">
        <w:rPr>
          <w:rFonts w:asciiTheme="majorHAnsi" w:hAnsiTheme="majorHAnsi"/>
          <w:lang w:val="en-GB"/>
        </w:rPr>
        <w:t>2020-21.</w:t>
      </w:r>
    </w:p>
    <w:p w14:paraId="0ADC9B69" w14:textId="77777777" w:rsidR="0067602A" w:rsidRPr="008675CA" w:rsidRDefault="0067602A" w:rsidP="0067602A">
      <w:pPr>
        <w:numPr>
          <w:ilvl w:val="0"/>
          <w:numId w:val="1"/>
        </w:numPr>
        <w:autoSpaceDE w:val="0"/>
        <w:autoSpaceDN w:val="0"/>
        <w:adjustRightInd w:val="0"/>
        <w:spacing w:after="0" w:line="360" w:lineRule="auto"/>
        <w:jc w:val="both"/>
        <w:rPr>
          <w:rFonts w:asciiTheme="majorHAnsi" w:hAnsiTheme="majorHAnsi"/>
          <w:lang w:val="en-GB"/>
        </w:rPr>
      </w:pPr>
      <w:r w:rsidRPr="008675CA">
        <w:rPr>
          <w:rFonts w:asciiTheme="majorHAnsi" w:hAnsiTheme="majorHAnsi"/>
          <w:lang w:val="en-GB"/>
        </w:rPr>
        <w:t>After analysis of the order</w:t>
      </w:r>
      <w:r w:rsidR="00962269" w:rsidRPr="008675CA">
        <w:rPr>
          <w:rFonts w:asciiTheme="majorHAnsi" w:hAnsiTheme="majorHAnsi"/>
          <w:lang w:val="en-GB"/>
        </w:rPr>
        <w:t>s</w:t>
      </w:r>
      <w:r w:rsidRPr="008675CA">
        <w:rPr>
          <w:rFonts w:asciiTheme="majorHAnsi" w:hAnsiTheme="majorHAnsi"/>
          <w:lang w:val="en-GB"/>
        </w:rPr>
        <w:t xml:space="preserve"> and examination of the same with respect to the latest relevant data and facts, MePGCL feels that there is a need to review the impugned order dated </w:t>
      </w:r>
      <w:r w:rsidR="00CD427E" w:rsidRPr="008675CA">
        <w:rPr>
          <w:rFonts w:asciiTheme="majorHAnsi" w:hAnsiTheme="majorHAnsi"/>
          <w:lang w:val="en-GB"/>
        </w:rPr>
        <w:t>22</w:t>
      </w:r>
      <w:r w:rsidR="00CD427E" w:rsidRPr="008675CA">
        <w:rPr>
          <w:rFonts w:asciiTheme="majorHAnsi" w:hAnsiTheme="majorHAnsi"/>
          <w:vertAlign w:val="superscript"/>
          <w:lang w:val="en-GB"/>
        </w:rPr>
        <w:t>nd</w:t>
      </w:r>
      <w:r w:rsidR="00CD427E" w:rsidRPr="008675CA">
        <w:rPr>
          <w:rFonts w:asciiTheme="majorHAnsi" w:hAnsiTheme="majorHAnsi"/>
          <w:lang w:val="en-GB"/>
        </w:rPr>
        <w:t xml:space="preserve"> </w:t>
      </w:r>
      <w:r w:rsidR="00852511" w:rsidRPr="008675CA">
        <w:rPr>
          <w:rFonts w:asciiTheme="majorHAnsi" w:hAnsiTheme="majorHAnsi"/>
          <w:lang w:val="en-GB"/>
        </w:rPr>
        <w:t>March, 2023</w:t>
      </w:r>
      <w:r w:rsidR="00CD427E" w:rsidRPr="008675CA">
        <w:rPr>
          <w:rFonts w:asciiTheme="majorHAnsi" w:hAnsiTheme="majorHAnsi"/>
          <w:lang w:val="en-GB"/>
        </w:rPr>
        <w:t xml:space="preserve"> </w:t>
      </w:r>
      <w:r w:rsidRPr="008675CA">
        <w:rPr>
          <w:rFonts w:asciiTheme="majorHAnsi" w:hAnsiTheme="majorHAnsi"/>
          <w:lang w:val="en-GB"/>
        </w:rPr>
        <w:t xml:space="preserve">based on the </w:t>
      </w:r>
      <w:r w:rsidR="003F2EBF" w:rsidRPr="008675CA">
        <w:rPr>
          <w:rFonts w:asciiTheme="majorHAnsi" w:hAnsiTheme="majorHAnsi"/>
          <w:lang w:val="en-GB"/>
        </w:rPr>
        <w:t>submissions, analysis and facts contained in the petition and the apparent errors reflected in the impugned order</w:t>
      </w:r>
      <w:r w:rsidR="00962269" w:rsidRPr="008675CA">
        <w:rPr>
          <w:rFonts w:asciiTheme="majorHAnsi" w:hAnsiTheme="majorHAnsi"/>
          <w:lang w:val="en-GB"/>
        </w:rPr>
        <w:t>s</w:t>
      </w:r>
      <w:r w:rsidR="003F2EBF" w:rsidRPr="008675CA">
        <w:rPr>
          <w:rFonts w:asciiTheme="majorHAnsi" w:hAnsiTheme="majorHAnsi"/>
          <w:lang w:val="en-GB"/>
        </w:rPr>
        <w:t>,</w:t>
      </w:r>
      <w:r w:rsidRPr="008675CA">
        <w:rPr>
          <w:rFonts w:asciiTheme="majorHAnsi" w:hAnsiTheme="majorHAnsi"/>
          <w:lang w:val="en-GB"/>
        </w:rPr>
        <w:t xml:space="preserve"> which </w:t>
      </w:r>
      <w:r w:rsidR="003F2EBF" w:rsidRPr="008675CA">
        <w:rPr>
          <w:rFonts w:asciiTheme="majorHAnsi" w:hAnsiTheme="majorHAnsi"/>
          <w:lang w:val="en-GB"/>
        </w:rPr>
        <w:t>are discussed in this review petition</w:t>
      </w:r>
      <w:r w:rsidRPr="008675CA">
        <w:rPr>
          <w:rFonts w:asciiTheme="majorHAnsi" w:hAnsiTheme="majorHAnsi"/>
          <w:lang w:val="en-GB"/>
        </w:rPr>
        <w:t xml:space="preserve"> in the subsequent section</w:t>
      </w:r>
      <w:r w:rsidR="00A87F36" w:rsidRPr="008675CA">
        <w:rPr>
          <w:rFonts w:asciiTheme="majorHAnsi" w:hAnsiTheme="majorHAnsi"/>
          <w:lang w:val="en-GB"/>
        </w:rPr>
        <w:t>s</w:t>
      </w:r>
      <w:r w:rsidRPr="008675CA">
        <w:rPr>
          <w:rFonts w:asciiTheme="majorHAnsi" w:hAnsiTheme="majorHAnsi"/>
          <w:lang w:val="en-GB"/>
        </w:rPr>
        <w:t>.</w:t>
      </w:r>
    </w:p>
    <w:p w14:paraId="4C42BAE0" w14:textId="77777777" w:rsidR="0067602A" w:rsidRPr="008675CA" w:rsidRDefault="0067602A" w:rsidP="007B5E7B">
      <w:pPr>
        <w:numPr>
          <w:ilvl w:val="0"/>
          <w:numId w:val="1"/>
        </w:numPr>
        <w:autoSpaceDE w:val="0"/>
        <w:autoSpaceDN w:val="0"/>
        <w:adjustRightInd w:val="0"/>
        <w:spacing w:after="0" w:line="276" w:lineRule="auto"/>
        <w:contextualSpacing/>
        <w:jc w:val="both"/>
        <w:rPr>
          <w:rFonts w:asciiTheme="majorHAnsi" w:hAnsiTheme="majorHAnsi"/>
          <w:lang w:val="en-GB"/>
        </w:rPr>
      </w:pPr>
      <w:r w:rsidRPr="008675CA">
        <w:rPr>
          <w:rFonts w:asciiTheme="majorHAnsi" w:hAnsiTheme="majorHAnsi"/>
          <w:lang w:val="en-GB"/>
        </w:rPr>
        <w:t>MePGCL prays before the Hon</w:t>
      </w:r>
      <w:r w:rsidR="00A87F36" w:rsidRPr="008675CA">
        <w:rPr>
          <w:rFonts w:asciiTheme="majorHAnsi" w:hAnsiTheme="majorHAnsi"/>
          <w:lang w:val="en-GB"/>
        </w:rPr>
        <w:t>’</w:t>
      </w:r>
      <w:r w:rsidRPr="008675CA">
        <w:rPr>
          <w:rFonts w:asciiTheme="majorHAnsi" w:hAnsiTheme="majorHAnsi"/>
          <w:lang w:val="en-GB"/>
        </w:rPr>
        <w:t xml:space="preserve">ble Commission to </w:t>
      </w:r>
      <w:r w:rsidR="0088307D" w:rsidRPr="008675CA">
        <w:rPr>
          <w:rFonts w:asciiTheme="majorHAnsi" w:hAnsiTheme="majorHAnsi"/>
          <w:lang w:val="en-GB"/>
        </w:rPr>
        <w:t xml:space="preserve">kindly </w:t>
      </w:r>
      <w:r w:rsidRPr="008675CA">
        <w:rPr>
          <w:rFonts w:asciiTheme="majorHAnsi" w:hAnsiTheme="majorHAnsi"/>
          <w:lang w:val="en-GB"/>
        </w:rPr>
        <w:t>admit this review petition</w:t>
      </w:r>
      <w:r w:rsidR="0088307D" w:rsidRPr="008675CA">
        <w:rPr>
          <w:rFonts w:asciiTheme="majorHAnsi" w:hAnsiTheme="majorHAnsi"/>
          <w:lang w:val="en-GB"/>
        </w:rPr>
        <w:t>.</w:t>
      </w:r>
    </w:p>
    <w:p w14:paraId="3707F1E7" w14:textId="77777777" w:rsidR="00405564" w:rsidRPr="008675CA" w:rsidRDefault="00405564" w:rsidP="00405564">
      <w:pPr>
        <w:autoSpaceDE w:val="0"/>
        <w:autoSpaceDN w:val="0"/>
        <w:adjustRightInd w:val="0"/>
        <w:spacing w:after="0" w:line="276" w:lineRule="auto"/>
        <w:ind w:left="720"/>
        <w:contextualSpacing/>
        <w:jc w:val="both"/>
        <w:rPr>
          <w:rFonts w:asciiTheme="majorHAnsi" w:hAnsiTheme="majorHAnsi"/>
          <w:lang w:val="en-GB"/>
        </w:rPr>
      </w:pPr>
    </w:p>
    <w:p w14:paraId="46D7EC2E" w14:textId="77777777" w:rsidR="0067602A" w:rsidRPr="008675CA" w:rsidRDefault="005A5878" w:rsidP="009E72C0">
      <w:pPr>
        <w:pStyle w:val="ListParagraph"/>
        <w:numPr>
          <w:ilvl w:val="0"/>
          <w:numId w:val="1"/>
        </w:numPr>
        <w:tabs>
          <w:tab w:val="clear" w:pos="720"/>
        </w:tabs>
        <w:spacing w:line="360" w:lineRule="auto"/>
        <w:contextualSpacing/>
        <w:jc w:val="both"/>
        <w:rPr>
          <w:rFonts w:asciiTheme="majorHAnsi" w:hAnsiTheme="majorHAnsi"/>
          <w:szCs w:val="22"/>
        </w:rPr>
      </w:pPr>
      <w:r w:rsidRPr="008675CA">
        <w:rPr>
          <w:rFonts w:asciiTheme="majorHAnsi" w:hAnsiTheme="majorHAnsi"/>
          <w:szCs w:val="22"/>
        </w:rPr>
        <w:lastRenderedPageBreak/>
        <w:t>The Board of Directors of MePGCL has accorded approval for filing of this petition and authorized the undersigned to file the petition accordingly. The copy of the Board’s resolution is enclosed as</w:t>
      </w:r>
      <w:r w:rsidRPr="008675CA">
        <w:rPr>
          <w:rFonts w:asciiTheme="majorHAnsi" w:hAnsiTheme="majorHAnsi"/>
          <w:b/>
          <w:szCs w:val="22"/>
        </w:rPr>
        <w:t xml:space="preserve"> Annexure</w:t>
      </w:r>
      <w:r w:rsidR="0057286D" w:rsidRPr="008675CA">
        <w:rPr>
          <w:rFonts w:asciiTheme="majorHAnsi" w:hAnsiTheme="majorHAnsi"/>
          <w:b/>
          <w:szCs w:val="22"/>
        </w:rPr>
        <w:t>-A</w:t>
      </w:r>
      <w:r w:rsidRPr="008675CA">
        <w:rPr>
          <w:rFonts w:asciiTheme="majorHAnsi" w:hAnsiTheme="majorHAnsi"/>
          <w:b/>
          <w:szCs w:val="22"/>
        </w:rPr>
        <w:t>.</w:t>
      </w:r>
    </w:p>
    <w:p w14:paraId="648C8291" w14:textId="77777777" w:rsidR="0067602A" w:rsidRPr="008675CA" w:rsidRDefault="0067602A" w:rsidP="0067602A">
      <w:pPr>
        <w:autoSpaceDE w:val="0"/>
        <w:autoSpaceDN w:val="0"/>
        <w:adjustRightInd w:val="0"/>
        <w:spacing w:after="0"/>
        <w:ind w:left="720"/>
        <w:jc w:val="both"/>
        <w:rPr>
          <w:rFonts w:asciiTheme="majorHAnsi" w:hAnsiTheme="majorHAnsi"/>
        </w:rPr>
      </w:pPr>
    </w:p>
    <w:p w14:paraId="7D79D70E" w14:textId="77777777" w:rsidR="0067602A" w:rsidRPr="008675CA" w:rsidRDefault="0067602A" w:rsidP="0067602A">
      <w:pPr>
        <w:autoSpaceDE w:val="0"/>
        <w:autoSpaceDN w:val="0"/>
        <w:adjustRightInd w:val="0"/>
        <w:spacing w:after="0"/>
        <w:ind w:left="720"/>
        <w:jc w:val="both"/>
        <w:rPr>
          <w:rFonts w:asciiTheme="majorHAnsi" w:hAnsiTheme="majorHAnsi"/>
        </w:rPr>
      </w:pPr>
    </w:p>
    <w:p w14:paraId="463C20E2" w14:textId="77777777" w:rsidR="00852511" w:rsidRPr="008675CA" w:rsidRDefault="00852511" w:rsidP="0067602A">
      <w:pPr>
        <w:autoSpaceDE w:val="0"/>
        <w:autoSpaceDN w:val="0"/>
        <w:adjustRightInd w:val="0"/>
        <w:spacing w:after="0"/>
        <w:ind w:left="720"/>
        <w:jc w:val="both"/>
        <w:rPr>
          <w:rFonts w:asciiTheme="majorHAnsi" w:hAnsiTheme="majorHAnsi"/>
        </w:rPr>
      </w:pPr>
    </w:p>
    <w:p w14:paraId="0BC64E0E" w14:textId="77777777" w:rsidR="00852511" w:rsidRPr="008675CA" w:rsidRDefault="00852511" w:rsidP="0067602A">
      <w:pPr>
        <w:autoSpaceDE w:val="0"/>
        <w:autoSpaceDN w:val="0"/>
        <w:adjustRightInd w:val="0"/>
        <w:spacing w:after="0"/>
        <w:ind w:left="720"/>
        <w:jc w:val="both"/>
        <w:rPr>
          <w:rFonts w:asciiTheme="majorHAnsi" w:hAnsiTheme="majorHAnsi"/>
        </w:rPr>
      </w:pPr>
    </w:p>
    <w:p w14:paraId="51AD1B4B" w14:textId="77777777" w:rsidR="0067602A" w:rsidRPr="008675CA" w:rsidRDefault="0067602A" w:rsidP="0067602A">
      <w:pPr>
        <w:autoSpaceDE w:val="0"/>
        <w:autoSpaceDN w:val="0"/>
        <w:adjustRightInd w:val="0"/>
        <w:spacing w:after="0"/>
        <w:ind w:left="720"/>
        <w:jc w:val="both"/>
        <w:rPr>
          <w:rFonts w:asciiTheme="majorHAnsi" w:hAnsiTheme="majorHAnsi"/>
          <w:b/>
        </w:rPr>
      </w:pPr>
      <w:r w:rsidRPr="008675CA">
        <w:rPr>
          <w:rFonts w:asciiTheme="majorHAnsi" w:hAnsiTheme="majorHAnsi"/>
          <w:b/>
        </w:rPr>
        <w:t>PRAYER:</w:t>
      </w:r>
    </w:p>
    <w:p w14:paraId="78FCEC87" w14:textId="77777777" w:rsidR="0067602A" w:rsidRPr="008675CA" w:rsidRDefault="0067602A" w:rsidP="0067602A">
      <w:pPr>
        <w:autoSpaceDE w:val="0"/>
        <w:autoSpaceDN w:val="0"/>
        <w:adjustRightInd w:val="0"/>
        <w:spacing w:after="0"/>
        <w:ind w:left="720"/>
        <w:jc w:val="both"/>
        <w:rPr>
          <w:rFonts w:asciiTheme="majorHAnsi" w:hAnsiTheme="majorHAnsi"/>
          <w:b/>
        </w:rPr>
      </w:pPr>
    </w:p>
    <w:p w14:paraId="1A0AE08B" w14:textId="77777777" w:rsidR="0067602A" w:rsidRPr="008675CA" w:rsidRDefault="0067602A" w:rsidP="009E72C0">
      <w:pPr>
        <w:autoSpaceDE w:val="0"/>
        <w:autoSpaceDN w:val="0"/>
        <w:adjustRightInd w:val="0"/>
        <w:spacing w:after="0" w:line="360" w:lineRule="auto"/>
        <w:ind w:left="720"/>
        <w:jc w:val="both"/>
        <w:rPr>
          <w:rFonts w:asciiTheme="majorHAnsi" w:hAnsiTheme="majorHAnsi"/>
        </w:rPr>
      </w:pPr>
      <w:r w:rsidRPr="008675CA">
        <w:rPr>
          <w:rFonts w:asciiTheme="majorHAnsi" w:hAnsiTheme="majorHAnsi"/>
        </w:rPr>
        <w:t>The applicant, therefore, humbly prays before the Hon’ble Commission to pass appropriate order</w:t>
      </w:r>
      <w:r w:rsidR="00A87F36" w:rsidRPr="008675CA">
        <w:rPr>
          <w:rFonts w:asciiTheme="majorHAnsi" w:hAnsiTheme="majorHAnsi"/>
        </w:rPr>
        <w:t>s</w:t>
      </w:r>
      <w:r w:rsidRPr="008675CA">
        <w:rPr>
          <w:rFonts w:asciiTheme="majorHAnsi" w:hAnsiTheme="majorHAnsi"/>
        </w:rPr>
        <w:t xml:space="preserve"> on the following:</w:t>
      </w:r>
    </w:p>
    <w:p w14:paraId="2E5504BF" w14:textId="77777777" w:rsidR="0067602A" w:rsidRPr="008675CA" w:rsidRDefault="0067602A" w:rsidP="009E72C0">
      <w:pPr>
        <w:autoSpaceDE w:val="0"/>
        <w:autoSpaceDN w:val="0"/>
        <w:adjustRightInd w:val="0"/>
        <w:spacing w:after="0" w:line="360" w:lineRule="auto"/>
        <w:ind w:left="720"/>
        <w:jc w:val="both"/>
        <w:rPr>
          <w:rFonts w:asciiTheme="majorHAnsi" w:hAnsiTheme="majorHAnsi"/>
        </w:rPr>
      </w:pPr>
    </w:p>
    <w:p w14:paraId="0EA3DB79" w14:textId="77777777" w:rsidR="0067602A" w:rsidRPr="008675CA" w:rsidRDefault="0067602A" w:rsidP="009E72C0">
      <w:pPr>
        <w:autoSpaceDE w:val="0"/>
        <w:autoSpaceDN w:val="0"/>
        <w:adjustRightInd w:val="0"/>
        <w:spacing w:line="360" w:lineRule="auto"/>
        <w:ind w:left="1440" w:hanging="270"/>
        <w:jc w:val="both"/>
        <w:rPr>
          <w:rFonts w:asciiTheme="majorHAnsi" w:hAnsiTheme="majorHAnsi"/>
        </w:rPr>
      </w:pPr>
      <w:r w:rsidRPr="008675CA">
        <w:rPr>
          <w:rFonts w:asciiTheme="majorHAnsi" w:hAnsiTheme="majorHAnsi"/>
        </w:rPr>
        <w:t>•</w:t>
      </w:r>
      <w:r w:rsidRPr="008675CA">
        <w:rPr>
          <w:rFonts w:asciiTheme="majorHAnsi" w:hAnsiTheme="majorHAnsi"/>
        </w:rPr>
        <w:tab/>
        <w:t>Admit the Review Petition on Generation True Up</w:t>
      </w:r>
      <w:r w:rsidR="00A87F36" w:rsidRPr="008675CA">
        <w:rPr>
          <w:rFonts w:asciiTheme="majorHAnsi" w:hAnsiTheme="majorHAnsi"/>
        </w:rPr>
        <w:t xml:space="preserve"> Order for </w:t>
      </w:r>
      <w:r w:rsidRPr="008675CA">
        <w:rPr>
          <w:rFonts w:asciiTheme="majorHAnsi" w:hAnsiTheme="majorHAnsi"/>
        </w:rPr>
        <w:t xml:space="preserve">FY </w:t>
      </w:r>
      <w:r w:rsidR="00CD427E" w:rsidRPr="008675CA">
        <w:rPr>
          <w:rFonts w:asciiTheme="majorHAnsi" w:hAnsiTheme="majorHAnsi"/>
        </w:rPr>
        <w:t>2</w:t>
      </w:r>
      <w:r w:rsidR="00852511" w:rsidRPr="008675CA">
        <w:rPr>
          <w:rFonts w:asciiTheme="majorHAnsi" w:hAnsiTheme="majorHAnsi"/>
        </w:rPr>
        <w:t>020-21</w:t>
      </w:r>
      <w:r w:rsidRPr="008675CA">
        <w:rPr>
          <w:rFonts w:asciiTheme="majorHAnsi" w:hAnsiTheme="majorHAnsi"/>
        </w:rPr>
        <w:t xml:space="preserve"> dated </w:t>
      </w:r>
      <w:r w:rsidR="00CD427E" w:rsidRPr="008675CA">
        <w:rPr>
          <w:rFonts w:asciiTheme="majorHAnsi" w:hAnsiTheme="majorHAnsi"/>
          <w:lang w:val="en-GB"/>
        </w:rPr>
        <w:t xml:space="preserve">22nd </w:t>
      </w:r>
      <w:r w:rsidR="00852511" w:rsidRPr="008675CA">
        <w:rPr>
          <w:rFonts w:asciiTheme="majorHAnsi" w:hAnsiTheme="majorHAnsi"/>
          <w:lang w:val="en-GB"/>
        </w:rPr>
        <w:t xml:space="preserve">March, </w:t>
      </w:r>
      <w:r w:rsidR="00B775D3">
        <w:rPr>
          <w:rFonts w:asciiTheme="majorHAnsi" w:hAnsiTheme="majorHAnsi"/>
          <w:lang w:val="en-GB"/>
        </w:rPr>
        <w:t xml:space="preserve">2023 </w:t>
      </w:r>
      <w:r w:rsidRPr="008675CA">
        <w:rPr>
          <w:rFonts w:asciiTheme="majorHAnsi" w:hAnsiTheme="majorHAnsi"/>
        </w:rPr>
        <w:t>as submitted herewith.</w:t>
      </w:r>
    </w:p>
    <w:p w14:paraId="3F275A65" w14:textId="77777777" w:rsidR="0067602A" w:rsidRPr="008675CA" w:rsidRDefault="0067602A" w:rsidP="009E72C0">
      <w:pPr>
        <w:autoSpaceDE w:val="0"/>
        <w:autoSpaceDN w:val="0"/>
        <w:adjustRightInd w:val="0"/>
        <w:spacing w:line="360" w:lineRule="auto"/>
        <w:ind w:left="1440" w:hanging="270"/>
        <w:jc w:val="both"/>
        <w:rPr>
          <w:rFonts w:asciiTheme="majorHAnsi" w:hAnsiTheme="majorHAnsi"/>
        </w:rPr>
      </w:pPr>
      <w:r w:rsidRPr="008675CA">
        <w:rPr>
          <w:rFonts w:asciiTheme="majorHAnsi" w:hAnsiTheme="majorHAnsi"/>
        </w:rPr>
        <w:t>•</w:t>
      </w:r>
      <w:r w:rsidRPr="008675CA">
        <w:rPr>
          <w:rFonts w:asciiTheme="majorHAnsi" w:hAnsiTheme="majorHAnsi"/>
        </w:rPr>
        <w:tab/>
        <w:t xml:space="preserve">Condone any inadvertent omissions/ errors/ shortcomings and permit the Petitioner to add/ change/ modify/ alter this filing and make further submissions as may be required at a future date. </w:t>
      </w:r>
    </w:p>
    <w:p w14:paraId="63C39953" w14:textId="77777777" w:rsidR="0067602A" w:rsidRPr="008675CA" w:rsidRDefault="0067602A" w:rsidP="009E72C0">
      <w:pPr>
        <w:autoSpaceDE w:val="0"/>
        <w:autoSpaceDN w:val="0"/>
        <w:adjustRightInd w:val="0"/>
        <w:spacing w:line="360" w:lineRule="auto"/>
        <w:ind w:left="1440" w:hanging="270"/>
        <w:jc w:val="both"/>
        <w:rPr>
          <w:rFonts w:asciiTheme="majorHAnsi" w:hAnsiTheme="majorHAnsi"/>
        </w:rPr>
      </w:pPr>
      <w:r w:rsidRPr="008675CA">
        <w:rPr>
          <w:rFonts w:asciiTheme="majorHAnsi" w:hAnsiTheme="majorHAnsi"/>
        </w:rPr>
        <w:t>•</w:t>
      </w:r>
      <w:r w:rsidRPr="008675CA">
        <w:rPr>
          <w:rFonts w:asciiTheme="majorHAnsi" w:hAnsiTheme="majorHAnsi"/>
        </w:rPr>
        <w:tab/>
        <w:t>Permit submission of any additional information required by the Hon’ble Commission during the processing of this petition.</w:t>
      </w:r>
    </w:p>
    <w:p w14:paraId="61DDEDAD" w14:textId="77777777" w:rsidR="0067602A" w:rsidRPr="008675CA" w:rsidRDefault="0067602A" w:rsidP="009E72C0">
      <w:pPr>
        <w:autoSpaceDE w:val="0"/>
        <w:autoSpaceDN w:val="0"/>
        <w:adjustRightInd w:val="0"/>
        <w:spacing w:line="360" w:lineRule="auto"/>
        <w:ind w:left="1440" w:hanging="270"/>
        <w:jc w:val="both"/>
        <w:rPr>
          <w:rFonts w:asciiTheme="majorHAnsi" w:hAnsiTheme="majorHAnsi"/>
        </w:rPr>
      </w:pPr>
      <w:r w:rsidRPr="008675CA">
        <w:rPr>
          <w:rFonts w:asciiTheme="majorHAnsi" w:hAnsiTheme="majorHAnsi"/>
        </w:rPr>
        <w:t>•</w:t>
      </w:r>
      <w:r w:rsidRPr="008675CA">
        <w:rPr>
          <w:rFonts w:asciiTheme="majorHAnsi" w:hAnsiTheme="majorHAnsi"/>
        </w:rPr>
        <w:tab/>
        <w:t xml:space="preserve">And pass such other </w:t>
      </w:r>
      <w:r w:rsidR="00A87F36" w:rsidRPr="008675CA">
        <w:rPr>
          <w:rFonts w:asciiTheme="majorHAnsi" w:hAnsiTheme="majorHAnsi"/>
        </w:rPr>
        <w:t>and further orders as may deem</w:t>
      </w:r>
      <w:r w:rsidRPr="008675CA">
        <w:rPr>
          <w:rFonts w:asciiTheme="majorHAnsi" w:hAnsiTheme="majorHAnsi"/>
        </w:rPr>
        <w:t xml:space="preserve"> fit and proper in the facts and circumstances of the case,</w:t>
      </w:r>
    </w:p>
    <w:p w14:paraId="19F3EE9A" w14:textId="77777777" w:rsidR="0067602A" w:rsidRPr="008675CA" w:rsidRDefault="0067602A" w:rsidP="00D82867">
      <w:pPr>
        <w:tabs>
          <w:tab w:val="left" w:pos="720"/>
          <w:tab w:val="left" w:pos="1269"/>
        </w:tabs>
        <w:spacing w:after="0" w:line="240" w:lineRule="auto"/>
        <w:jc w:val="both"/>
        <w:rPr>
          <w:rFonts w:asciiTheme="majorHAnsi" w:eastAsia="Times New Roman" w:hAnsiTheme="majorHAnsi" w:cs="Times New Roman"/>
          <w:b/>
          <w:u w:val="single"/>
        </w:rPr>
      </w:pPr>
    </w:p>
    <w:p w14:paraId="3E153AE0" w14:textId="77777777" w:rsidR="008C6D6B" w:rsidRPr="008675CA" w:rsidRDefault="008C6D6B" w:rsidP="00D82867">
      <w:pPr>
        <w:jc w:val="both"/>
        <w:rPr>
          <w:rFonts w:asciiTheme="majorHAnsi" w:hAnsiTheme="majorHAnsi"/>
        </w:rPr>
      </w:pPr>
    </w:p>
    <w:p w14:paraId="4F806E4D" w14:textId="77777777" w:rsidR="00A87F36" w:rsidRPr="008675CA" w:rsidRDefault="00A87F36" w:rsidP="00A87F36">
      <w:pPr>
        <w:widowControl w:val="0"/>
        <w:autoSpaceDE w:val="0"/>
        <w:autoSpaceDN w:val="0"/>
        <w:adjustRightInd w:val="0"/>
        <w:ind w:right="-54"/>
        <w:rPr>
          <w:rFonts w:asciiTheme="majorHAnsi" w:hAnsiTheme="majorHAnsi"/>
        </w:rPr>
      </w:pPr>
    </w:p>
    <w:p w14:paraId="0D147264" w14:textId="77777777" w:rsidR="00C454F6" w:rsidRPr="008675CA" w:rsidRDefault="00C454F6" w:rsidP="00A87F36">
      <w:pPr>
        <w:widowControl w:val="0"/>
        <w:autoSpaceDE w:val="0"/>
        <w:autoSpaceDN w:val="0"/>
        <w:adjustRightInd w:val="0"/>
        <w:ind w:right="-54"/>
        <w:rPr>
          <w:rFonts w:asciiTheme="majorHAnsi" w:hAnsiTheme="majorHAnsi"/>
        </w:rPr>
      </w:pPr>
    </w:p>
    <w:p w14:paraId="647527D0" w14:textId="24B9F517" w:rsidR="00A87F36" w:rsidRPr="008675CA" w:rsidRDefault="00A87F36" w:rsidP="00CD427E">
      <w:pPr>
        <w:widowControl w:val="0"/>
        <w:autoSpaceDE w:val="0"/>
        <w:autoSpaceDN w:val="0"/>
        <w:adjustRightInd w:val="0"/>
        <w:spacing w:after="0" w:line="276" w:lineRule="auto"/>
        <w:ind w:right="-54"/>
        <w:rPr>
          <w:rFonts w:asciiTheme="majorHAnsi" w:hAnsiTheme="majorHAnsi" w:cstheme="minorHAnsi"/>
        </w:rPr>
      </w:pPr>
      <w:r w:rsidRPr="008675CA">
        <w:rPr>
          <w:rFonts w:asciiTheme="majorHAnsi" w:hAnsiTheme="majorHAnsi" w:cstheme="minorHAnsi"/>
        </w:rPr>
        <w:t>(</w:t>
      </w:r>
      <w:r w:rsidR="001309A7">
        <w:rPr>
          <w:rFonts w:asciiTheme="majorHAnsi" w:hAnsiTheme="majorHAnsi" w:cstheme="minorHAnsi"/>
        </w:rPr>
        <w:t>Smti M. Lyngdoh</w:t>
      </w:r>
      <w:r w:rsidRPr="008675CA">
        <w:rPr>
          <w:rFonts w:asciiTheme="majorHAnsi" w:hAnsiTheme="majorHAnsi" w:cstheme="minorHAnsi"/>
        </w:rPr>
        <w:t>)</w:t>
      </w:r>
    </w:p>
    <w:p w14:paraId="7D854D52" w14:textId="0CFC487A" w:rsidR="00A87F36" w:rsidRPr="008675CA" w:rsidRDefault="00852511" w:rsidP="00CD427E">
      <w:pPr>
        <w:spacing w:after="0" w:line="276" w:lineRule="auto"/>
        <w:rPr>
          <w:rFonts w:asciiTheme="majorHAnsi" w:hAnsiTheme="majorHAnsi" w:cstheme="minorHAnsi"/>
        </w:rPr>
      </w:pPr>
      <w:r w:rsidRPr="008675CA">
        <w:rPr>
          <w:rFonts w:asciiTheme="majorHAnsi" w:hAnsiTheme="majorHAnsi" w:cstheme="minorHAnsi"/>
        </w:rPr>
        <w:t xml:space="preserve">Superintending </w:t>
      </w:r>
      <w:r w:rsidR="00B775D3">
        <w:rPr>
          <w:rFonts w:asciiTheme="majorHAnsi" w:hAnsiTheme="majorHAnsi" w:cstheme="minorHAnsi"/>
        </w:rPr>
        <w:t>Engineer (P</w:t>
      </w:r>
      <w:r w:rsidR="001309A7">
        <w:rPr>
          <w:rFonts w:asciiTheme="majorHAnsi" w:hAnsiTheme="majorHAnsi" w:cstheme="minorHAnsi"/>
        </w:rPr>
        <w:t>&amp;R</w:t>
      </w:r>
      <w:r w:rsidR="00B775D3">
        <w:rPr>
          <w:rFonts w:asciiTheme="majorHAnsi" w:hAnsiTheme="majorHAnsi" w:cstheme="minorHAnsi"/>
        </w:rPr>
        <w:t>M</w:t>
      </w:r>
      <w:r w:rsidR="00A87F36" w:rsidRPr="008675CA">
        <w:rPr>
          <w:rFonts w:asciiTheme="majorHAnsi" w:hAnsiTheme="majorHAnsi" w:cstheme="minorHAnsi"/>
        </w:rPr>
        <w:t>)</w:t>
      </w:r>
      <w:r w:rsidR="008747C3" w:rsidRPr="008675CA">
        <w:rPr>
          <w:rFonts w:asciiTheme="majorHAnsi" w:hAnsiTheme="majorHAnsi" w:cstheme="minorHAnsi"/>
        </w:rPr>
        <w:t>,</w:t>
      </w:r>
    </w:p>
    <w:p w14:paraId="7DF43F2B" w14:textId="77777777" w:rsidR="00A87F36" w:rsidRPr="008675CA" w:rsidRDefault="00A87F36" w:rsidP="00CD427E">
      <w:pPr>
        <w:spacing w:after="0" w:line="276" w:lineRule="auto"/>
        <w:rPr>
          <w:rFonts w:asciiTheme="majorHAnsi" w:hAnsiTheme="majorHAnsi" w:cstheme="minorHAnsi"/>
        </w:rPr>
      </w:pPr>
      <w:r w:rsidRPr="008675CA">
        <w:rPr>
          <w:rFonts w:asciiTheme="majorHAnsi" w:hAnsiTheme="majorHAnsi" w:cstheme="minorHAnsi"/>
        </w:rPr>
        <w:t>For and on behalf of</w:t>
      </w:r>
    </w:p>
    <w:p w14:paraId="1E28428B" w14:textId="77777777" w:rsidR="00A87F36" w:rsidRPr="008675CA" w:rsidRDefault="00A87F36" w:rsidP="00CD427E">
      <w:pPr>
        <w:spacing w:after="0" w:line="276" w:lineRule="auto"/>
        <w:rPr>
          <w:rFonts w:asciiTheme="majorHAnsi" w:hAnsiTheme="majorHAnsi" w:cstheme="minorHAnsi"/>
        </w:rPr>
      </w:pPr>
      <w:r w:rsidRPr="008675CA">
        <w:rPr>
          <w:rFonts w:asciiTheme="majorHAnsi" w:hAnsiTheme="majorHAnsi" w:cstheme="minorHAnsi"/>
        </w:rPr>
        <w:t>Meghalaya Power Generation Corporation Ltd</w:t>
      </w:r>
      <w:r w:rsidR="00C454F6" w:rsidRPr="008675CA">
        <w:rPr>
          <w:rFonts w:asciiTheme="majorHAnsi" w:hAnsiTheme="majorHAnsi" w:cstheme="minorHAnsi"/>
        </w:rPr>
        <w:t>.</w:t>
      </w:r>
    </w:p>
    <w:p w14:paraId="098D93F5" w14:textId="77777777" w:rsidR="00A051F9" w:rsidRPr="008675CA" w:rsidRDefault="00A051F9" w:rsidP="00CD427E">
      <w:pPr>
        <w:spacing w:after="0" w:line="276" w:lineRule="auto"/>
        <w:rPr>
          <w:rFonts w:asciiTheme="majorHAnsi" w:hAnsiTheme="majorHAnsi"/>
        </w:rPr>
      </w:pPr>
      <w:r w:rsidRPr="008675CA">
        <w:rPr>
          <w:rFonts w:asciiTheme="majorHAnsi" w:hAnsiTheme="majorHAnsi"/>
        </w:rPr>
        <w:br w:type="page"/>
      </w:r>
    </w:p>
    <w:sdt>
      <w:sdtPr>
        <w:rPr>
          <w:rFonts w:asciiTheme="minorHAnsi" w:eastAsiaTheme="minorHAnsi" w:hAnsiTheme="minorHAnsi" w:cstheme="minorBidi"/>
          <w:color w:val="auto"/>
          <w:sz w:val="22"/>
          <w:szCs w:val="22"/>
        </w:rPr>
        <w:id w:val="349302928"/>
        <w:docPartObj>
          <w:docPartGallery w:val="Table of Contents"/>
          <w:docPartUnique/>
        </w:docPartObj>
      </w:sdtPr>
      <w:sdtEndPr>
        <w:rPr>
          <w:bCs/>
          <w:noProof/>
        </w:rPr>
      </w:sdtEndPr>
      <w:sdtContent>
        <w:p w14:paraId="1771E018" w14:textId="77777777" w:rsidR="00A051F9" w:rsidRPr="008675CA" w:rsidRDefault="00A051F9">
          <w:pPr>
            <w:pStyle w:val="TOCHeading"/>
            <w:rPr>
              <w:color w:val="auto"/>
              <w:sz w:val="22"/>
              <w:szCs w:val="22"/>
            </w:rPr>
          </w:pPr>
          <w:r w:rsidRPr="008675CA">
            <w:rPr>
              <w:color w:val="auto"/>
              <w:sz w:val="22"/>
              <w:szCs w:val="22"/>
            </w:rPr>
            <w:t>Contents</w:t>
          </w:r>
        </w:p>
        <w:p w14:paraId="06AEB424" w14:textId="77777777" w:rsidR="00761768" w:rsidRPr="008675CA" w:rsidRDefault="00455A96">
          <w:pPr>
            <w:pStyle w:val="TOC1"/>
            <w:rPr>
              <w:rFonts w:asciiTheme="majorHAnsi" w:eastAsiaTheme="minorEastAsia" w:hAnsiTheme="majorHAnsi" w:cstheme="minorBidi"/>
              <w:b w:val="0"/>
              <w:bCs w:val="0"/>
              <w:noProof/>
              <w:sz w:val="22"/>
              <w:szCs w:val="22"/>
              <w:lang w:val="en-IN" w:eastAsia="en-IN"/>
            </w:rPr>
          </w:pPr>
          <w:r w:rsidRPr="008675CA">
            <w:rPr>
              <w:rFonts w:asciiTheme="majorHAnsi" w:hAnsiTheme="majorHAnsi"/>
              <w:b w:val="0"/>
              <w:sz w:val="22"/>
              <w:szCs w:val="22"/>
            </w:rPr>
            <w:fldChar w:fldCharType="begin"/>
          </w:r>
          <w:r w:rsidR="00FE7A35" w:rsidRPr="008675CA">
            <w:rPr>
              <w:rFonts w:asciiTheme="majorHAnsi" w:hAnsiTheme="majorHAnsi"/>
              <w:b w:val="0"/>
              <w:sz w:val="22"/>
              <w:szCs w:val="22"/>
            </w:rPr>
            <w:instrText xml:space="preserve"> TOC \o "1-1" \h \z \u </w:instrText>
          </w:r>
          <w:r w:rsidRPr="008675CA">
            <w:rPr>
              <w:rFonts w:asciiTheme="majorHAnsi" w:hAnsiTheme="majorHAnsi"/>
              <w:b w:val="0"/>
              <w:sz w:val="22"/>
              <w:szCs w:val="22"/>
            </w:rPr>
            <w:fldChar w:fldCharType="separate"/>
          </w:r>
          <w:hyperlink w:anchor="_Toc102318536" w:history="1">
            <w:r w:rsidR="00761768" w:rsidRPr="008675CA">
              <w:rPr>
                <w:rStyle w:val="Hyperlink"/>
                <w:rFonts w:asciiTheme="majorHAnsi" w:hAnsiTheme="majorHAnsi"/>
                <w:noProof/>
                <w:sz w:val="22"/>
                <w:szCs w:val="22"/>
              </w:rPr>
              <w:t>1.</w:t>
            </w:r>
            <w:r w:rsidR="00761768" w:rsidRPr="008675CA">
              <w:rPr>
                <w:rFonts w:asciiTheme="majorHAnsi" w:eastAsiaTheme="minorEastAsia" w:hAnsiTheme="majorHAnsi" w:cstheme="minorBidi"/>
                <w:b w:val="0"/>
                <w:bCs w:val="0"/>
                <w:noProof/>
                <w:sz w:val="22"/>
                <w:szCs w:val="22"/>
                <w:lang w:val="en-IN" w:eastAsia="en-IN"/>
              </w:rPr>
              <w:tab/>
            </w:r>
            <w:r w:rsidR="00761768" w:rsidRPr="008675CA">
              <w:rPr>
                <w:rStyle w:val="Hyperlink"/>
                <w:rFonts w:asciiTheme="majorHAnsi" w:hAnsiTheme="majorHAnsi"/>
                <w:noProof/>
                <w:sz w:val="22"/>
                <w:szCs w:val="22"/>
              </w:rPr>
              <w:t>Introduction</w:t>
            </w:r>
            <w:r w:rsidR="00761768" w:rsidRPr="008675CA">
              <w:rPr>
                <w:rFonts w:asciiTheme="majorHAnsi" w:hAnsiTheme="majorHAnsi"/>
                <w:noProof/>
                <w:webHidden/>
                <w:sz w:val="22"/>
                <w:szCs w:val="22"/>
              </w:rPr>
              <w:tab/>
            </w:r>
            <w:r w:rsidR="001176FF" w:rsidRPr="008675CA">
              <w:rPr>
                <w:rFonts w:asciiTheme="majorHAnsi" w:hAnsiTheme="majorHAnsi"/>
                <w:noProof/>
                <w:webHidden/>
                <w:sz w:val="22"/>
                <w:szCs w:val="22"/>
              </w:rPr>
              <w:t>4</w:t>
            </w:r>
          </w:hyperlink>
        </w:p>
        <w:p w14:paraId="77417E20" w14:textId="77777777" w:rsidR="00761768" w:rsidRPr="008675CA" w:rsidRDefault="00B16B91">
          <w:pPr>
            <w:pStyle w:val="TOC1"/>
            <w:rPr>
              <w:rFonts w:asciiTheme="majorHAnsi" w:eastAsiaTheme="minorEastAsia" w:hAnsiTheme="majorHAnsi" w:cstheme="minorBidi"/>
              <w:b w:val="0"/>
              <w:bCs w:val="0"/>
              <w:noProof/>
              <w:sz w:val="22"/>
              <w:szCs w:val="22"/>
              <w:lang w:val="en-IN" w:eastAsia="en-IN"/>
            </w:rPr>
          </w:pPr>
          <w:hyperlink w:anchor="_Toc102318541" w:history="1">
            <w:r w:rsidR="00761768" w:rsidRPr="008675CA">
              <w:rPr>
                <w:rStyle w:val="Hyperlink"/>
                <w:rFonts w:asciiTheme="majorHAnsi" w:hAnsiTheme="majorHAnsi"/>
                <w:noProof/>
                <w:sz w:val="22"/>
                <w:szCs w:val="22"/>
              </w:rPr>
              <w:t>2.</w:t>
            </w:r>
            <w:r w:rsidR="00761768" w:rsidRPr="008675CA">
              <w:rPr>
                <w:rFonts w:asciiTheme="majorHAnsi" w:eastAsiaTheme="minorEastAsia" w:hAnsiTheme="majorHAnsi" w:cstheme="minorBidi"/>
                <w:b w:val="0"/>
                <w:bCs w:val="0"/>
                <w:noProof/>
                <w:sz w:val="22"/>
                <w:szCs w:val="22"/>
                <w:lang w:val="en-IN" w:eastAsia="en-IN"/>
              </w:rPr>
              <w:tab/>
            </w:r>
            <w:r w:rsidR="00761768" w:rsidRPr="008675CA">
              <w:rPr>
                <w:rStyle w:val="Hyperlink"/>
                <w:rFonts w:asciiTheme="majorHAnsi" w:hAnsiTheme="majorHAnsi"/>
                <w:noProof/>
                <w:sz w:val="22"/>
                <w:szCs w:val="22"/>
              </w:rPr>
              <w:t xml:space="preserve">Review of True Up Order for FY </w:t>
            </w:r>
            <w:r w:rsidR="00852511" w:rsidRPr="008675CA">
              <w:rPr>
                <w:rStyle w:val="Hyperlink"/>
                <w:rFonts w:asciiTheme="majorHAnsi" w:hAnsiTheme="majorHAnsi"/>
                <w:noProof/>
                <w:sz w:val="22"/>
                <w:szCs w:val="22"/>
              </w:rPr>
              <w:t>2020-21</w:t>
            </w:r>
            <w:r w:rsidR="00761768" w:rsidRPr="008675CA">
              <w:rPr>
                <w:rFonts w:asciiTheme="majorHAnsi" w:hAnsiTheme="majorHAnsi"/>
                <w:noProof/>
                <w:webHidden/>
                <w:sz w:val="22"/>
                <w:szCs w:val="22"/>
              </w:rPr>
              <w:tab/>
            </w:r>
            <w:r w:rsidR="001176FF" w:rsidRPr="008675CA">
              <w:rPr>
                <w:rFonts w:asciiTheme="majorHAnsi" w:hAnsiTheme="majorHAnsi"/>
                <w:noProof/>
                <w:webHidden/>
                <w:sz w:val="22"/>
                <w:szCs w:val="22"/>
              </w:rPr>
              <w:t>6</w:t>
            </w:r>
          </w:hyperlink>
        </w:p>
        <w:p w14:paraId="2690828B" w14:textId="77777777" w:rsidR="00761768" w:rsidRPr="008675CA" w:rsidRDefault="00761768">
          <w:pPr>
            <w:pStyle w:val="TOC1"/>
            <w:rPr>
              <w:rFonts w:asciiTheme="majorHAnsi" w:eastAsiaTheme="minorEastAsia" w:hAnsiTheme="majorHAnsi" w:cstheme="minorBidi"/>
              <w:b w:val="0"/>
              <w:bCs w:val="0"/>
              <w:noProof/>
              <w:sz w:val="22"/>
              <w:szCs w:val="22"/>
              <w:lang w:val="en-IN" w:eastAsia="en-IN"/>
            </w:rPr>
          </w:pPr>
        </w:p>
        <w:p w14:paraId="10ECDE26" w14:textId="77777777" w:rsidR="00A051F9" w:rsidRPr="008675CA" w:rsidRDefault="00455A96">
          <w:pPr>
            <w:rPr>
              <w:rFonts w:asciiTheme="majorHAnsi" w:hAnsiTheme="majorHAnsi"/>
            </w:rPr>
          </w:pPr>
          <w:r w:rsidRPr="008675CA">
            <w:rPr>
              <w:rFonts w:asciiTheme="majorHAnsi" w:hAnsiTheme="majorHAnsi" w:cstheme="minorHAnsi"/>
            </w:rPr>
            <w:fldChar w:fldCharType="end"/>
          </w:r>
        </w:p>
      </w:sdtContent>
    </w:sdt>
    <w:p w14:paraId="6A130E80" w14:textId="77777777" w:rsidR="00925690" w:rsidRPr="008675CA" w:rsidRDefault="00925690" w:rsidP="00D82867">
      <w:pPr>
        <w:jc w:val="both"/>
        <w:rPr>
          <w:rFonts w:asciiTheme="majorHAnsi" w:hAnsiTheme="majorHAnsi"/>
        </w:rPr>
      </w:pPr>
    </w:p>
    <w:p w14:paraId="78203544" w14:textId="77777777" w:rsidR="00925690" w:rsidRPr="008675CA" w:rsidRDefault="00925690" w:rsidP="00925690">
      <w:pPr>
        <w:rPr>
          <w:rFonts w:asciiTheme="majorHAnsi" w:hAnsiTheme="majorHAnsi"/>
        </w:rPr>
      </w:pPr>
    </w:p>
    <w:p w14:paraId="06A859B5" w14:textId="77777777" w:rsidR="00925690" w:rsidRPr="008675CA" w:rsidRDefault="00925690" w:rsidP="00925690">
      <w:pPr>
        <w:rPr>
          <w:rFonts w:asciiTheme="majorHAnsi" w:hAnsiTheme="majorHAnsi"/>
        </w:rPr>
      </w:pPr>
    </w:p>
    <w:p w14:paraId="03862CBB" w14:textId="77777777" w:rsidR="00925690" w:rsidRPr="008675CA" w:rsidRDefault="00925690" w:rsidP="00925690">
      <w:pPr>
        <w:rPr>
          <w:rFonts w:asciiTheme="majorHAnsi" w:hAnsiTheme="majorHAnsi"/>
        </w:rPr>
      </w:pPr>
    </w:p>
    <w:p w14:paraId="4D6EA958" w14:textId="77777777" w:rsidR="00925690" w:rsidRPr="008675CA" w:rsidRDefault="00925690" w:rsidP="00925690">
      <w:pPr>
        <w:rPr>
          <w:rFonts w:asciiTheme="majorHAnsi" w:hAnsiTheme="majorHAnsi"/>
        </w:rPr>
      </w:pPr>
    </w:p>
    <w:p w14:paraId="296383A4" w14:textId="77777777" w:rsidR="00925690" w:rsidRPr="008675CA" w:rsidRDefault="00925690" w:rsidP="00925690">
      <w:pPr>
        <w:rPr>
          <w:rFonts w:asciiTheme="majorHAnsi" w:hAnsiTheme="majorHAnsi"/>
        </w:rPr>
      </w:pPr>
    </w:p>
    <w:p w14:paraId="69BDE8EB" w14:textId="77777777" w:rsidR="00925690" w:rsidRPr="008675CA" w:rsidRDefault="00925690" w:rsidP="00925690">
      <w:pPr>
        <w:rPr>
          <w:rFonts w:asciiTheme="majorHAnsi" w:hAnsiTheme="majorHAnsi"/>
        </w:rPr>
      </w:pPr>
    </w:p>
    <w:p w14:paraId="359D5E02" w14:textId="77777777" w:rsidR="00925690" w:rsidRPr="008675CA" w:rsidRDefault="00925690" w:rsidP="00925690">
      <w:pPr>
        <w:jc w:val="center"/>
        <w:rPr>
          <w:rFonts w:asciiTheme="majorHAnsi" w:hAnsiTheme="majorHAnsi"/>
        </w:rPr>
      </w:pPr>
    </w:p>
    <w:p w14:paraId="712C3602" w14:textId="77777777" w:rsidR="00925690" w:rsidRPr="008675CA" w:rsidRDefault="00925690" w:rsidP="00925690">
      <w:pPr>
        <w:rPr>
          <w:rFonts w:asciiTheme="majorHAnsi" w:hAnsiTheme="majorHAnsi"/>
        </w:rPr>
      </w:pPr>
    </w:p>
    <w:p w14:paraId="4820EF46" w14:textId="77777777" w:rsidR="004E2A7C" w:rsidRPr="008675CA" w:rsidRDefault="004E2A7C" w:rsidP="00925690">
      <w:pPr>
        <w:rPr>
          <w:rFonts w:asciiTheme="majorHAnsi" w:hAnsiTheme="majorHAnsi"/>
        </w:rPr>
        <w:sectPr w:rsidR="004E2A7C" w:rsidRPr="008675CA" w:rsidSect="00A254EF">
          <w:pgSz w:w="11906" w:h="16838" w:code="9"/>
          <w:pgMar w:top="1440" w:right="1440" w:bottom="1440" w:left="1440" w:header="720" w:footer="480" w:gutter="0"/>
          <w:pgNumType w:start="1"/>
          <w:cols w:space="720"/>
          <w:docGrid w:linePitch="360"/>
        </w:sectPr>
      </w:pPr>
    </w:p>
    <w:p w14:paraId="328836B5" w14:textId="77777777" w:rsidR="007F7CAB" w:rsidRPr="008675CA" w:rsidRDefault="007F7CAB" w:rsidP="00D82867">
      <w:pPr>
        <w:pStyle w:val="head1"/>
        <w:numPr>
          <w:ilvl w:val="0"/>
          <w:numId w:val="6"/>
        </w:numPr>
        <w:rPr>
          <w:rFonts w:asciiTheme="majorHAnsi" w:hAnsiTheme="majorHAnsi"/>
        </w:rPr>
      </w:pPr>
      <w:bookmarkStart w:id="1" w:name="_Toc29241832"/>
      <w:bookmarkStart w:id="2" w:name="_Toc29241864"/>
      <w:bookmarkStart w:id="3" w:name="_Toc29241882"/>
      <w:bookmarkStart w:id="4" w:name="_Toc29241900"/>
      <w:bookmarkStart w:id="5" w:name="_Toc29241833"/>
      <w:bookmarkStart w:id="6" w:name="_Toc29241865"/>
      <w:bookmarkStart w:id="7" w:name="_Toc29241883"/>
      <w:bookmarkStart w:id="8" w:name="_Toc29241901"/>
      <w:bookmarkStart w:id="9" w:name="_Toc29241834"/>
      <w:bookmarkStart w:id="10" w:name="_Toc29241866"/>
      <w:bookmarkStart w:id="11" w:name="_Toc29241884"/>
      <w:bookmarkStart w:id="12" w:name="_Toc29241902"/>
      <w:bookmarkStart w:id="13" w:name="_Toc29241835"/>
      <w:bookmarkStart w:id="14" w:name="_Toc29241867"/>
      <w:bookmarkStart w:id="15" w:name="_Toc29241885"/>
      <w:bookmarkStart w:id="16" w:name="_Toc29241903"/>
      <w:bookmarkStart w:id="17" w:name="_Toc513046788"/>
      <w:bookmarkStart w:id="18" w:name="_Toc513047553"/>
      <w:bookmarkStart w:id="19" w:name="_Toc513141768"/>
      <w:bookmarkStart w:id="20" w:name="_Toc29241617"/>
      <w:bookmarkStart w:id="21" w:name="_Toc29241733"/>
      <w:bookmarkStart w:id="22" w:name="_Toc10231853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8675CA">
        <w:rPr>
          <w:rFonts w:asciiTheme="majorHAnsi" w:hAnsiTheme="majorHAnsi"/>
        </w:rPr>
        <w:lastRenderedPageBreak/>
        <w:t>Introduction</w:t>
      </w:r>
      <w:bookmarkEnd w:id="17"/>
      <w:bookmarkEnd w:id="18"/>
      <w:bookmarkEnd w:id="19"/>
      <w:bookmarkEnd w:id="20"/>
      <w:bookmarkEnd w:id="21"/>
      <w:bookmarkEnd w:id="22"/>
    </w:p>
    <w:p w14:paraId="2EA79546" w14:textId="77777777" w:rsidR="00E7332F" w:rsidRPr="008675CA" w:rsidRDefault="00BC407B" w:rsidP="00A051F9">
      <w:pPr>
        <w:pStyle w:val="head2"/>
        <w:ind w:left="450"/>
        <w:rPr>
          <w:rFonts w:asciiTheme="majorHAnsi" w:hAnsiTheme="majorHAnsi"/>
          <w:b w:val="0"/>
        </w:rPr>
      </w:pPr>
      <w:bookmarkStart w:id="23" w:name="_Toc27577704"/>
      <w:bookmarkStart w:id="24" w:name="_Toc29241618"/>
      <w:bookmarkStart w:id="25" w:name="_Toc29241734"/>
      <w:bookmarkStart w:id="26" w:name="_Toc29289699"/>
      <w:bookmarkStart w:id="27" w:name="_Toc102318537"/>
      <w:r w:rsidRPr="008675CA">
        <w:rPr>
          <w:rFonts w:asciiTheme="majorHAnsi" w:hAnsiTheme="majorHAnsi"/>
          <w:b w:val="0"/>
        </w:rPr>
        <w:tab/>
      </w:r>
      <w:r w:rsidR="00E7332F" w:rsidRPr="008675CA">
        <w:rPr>
          <w:rFonts w:asciiTheme="majorHAnsi" w:hAnsiTheme="majorHAnsi"/>
          <w:b w:val="0"/>
        </w:rPr>
        <w:t>The present petition is being filed as per clause 22 of MSERC (Multi Year Tariff) Regulations 2014, which is reproduced below:</w:t>
      </w:r>
      <w:bookmarkEnd w:id="23"/>
      <w:bookmarkEnd w:id="24"/>
      <w:bookmarkEnd w:id="25"/>
      <w:bookmarkEnd w:id="26"/>
      <w:bookmarkEnd w:id="27"/>
    </w:p>
    <w:p w14:paraId="6E1657E6" w14:textId="77777777" w:rsidR="00E7332F" w:rsidRPr="008675CA" w:rsidRDefault="00E7332F" w:rsidP="00E7332F">
      <w:pPr>
        <w:spacing w:after="0"/>
        <w:jc w:val="both"/>
        <w:rPr>
          <w:rFonts w:asciiTheme="majorHAnsi" w:hAnsiTheme="majorHAnsi"/>
        </w:rPr>
      </w:pPr>
    </w:p>
    <w:p w14:paraId="6A36F89B" w14:textId="77777777" w:rsidR="00E7332F" w:rsidRPr="008675CA" w:rsidRDefault="00E7332F" w:rsidP="00E7332F">
      <w:pPr>
        <w:ind w:left="450"/>
        <w:jc w:val="both"/>
        <w:rPr>
          <w:rFonts w:asciiTheme="majorHAnsi" w:eastAsia="Times New Roman" w:hAnsiTheme="majorHAnsi" w:cs="Times New Roman"/>
          <w:b/>
          <w:i/>
          <w:lang w:eastAsia="en-IN"/>
        </w:rPr>
      </w:pPr>
      <w:r w:rsidRPr="008675CA">
        <w:rPr>
          <w:rFonts w:asciiTheme="majorHAnsi" w:eastAsia="Times New Roman" w:hAnsiTheme="majorHAnsi" w:cs="Times New Roman"/>
          <w:b/>
          <w:i/>
          <w:lang w:eastAsia="en-IN"/>
        </w:rPr>
        <w:t xml:space="preserve">22 Review of Tariff Order </w:t>
      </w:r>
    </w:p>
    <w:p w14:paraId="59EC3B6F" w14:textId="77777777" w:rsidR="00E7332F" w:rsidRPr="008675CA" w:rsidRDefault="00E7332F" w:rsidP="00E7332F">
      <w:pPr>
        <w:spacing w:after="0"/>
        <w:ind w:left="450"/>
        <w:jc w:val="both"/>
        <w:rPr>
          <w:rFonts w:asciiTheme="majorHAnsi" w:eastAsia="Times New Roman" w:hAnsiTheme="majorHAnsi" w:cs="Times New Roman"/>
          <w:i/>
          <w:lang w:eastAsia="en-IN"/>
        </w:rPr>
      </w:pPr>
      <w:r w:rsidRPr="008675CA">
        <w:rPr>
          <w:rFonts w:asciiTheme="majorHAnsi" w:eastAsia="Times New Roman" w:hAnsiTheme="majorHAnsi" w:cs="Times New Roman"/>
          <w:i/>
          <w:lang w:eastAsia="en-IN"/>
        </w:rPr>
        <w:t xml:space="preserve">22.1 All applications for the review of tariff shall be in the form of petition accompanied by the prescribed fee. A petition for review of tariff can be admitted by the Commission under the following conditions: </w:t>
      </w:r>
    </w:p>
    <w:p w14:paraId="56B0E518" w14:textId="77777777" w:rsidR="00E7332F" w:rsidRPr="008675CA" w:rsidRDefault="00E7332F" w:rsidP="00E7332F">
      <w:pPr>
        <w:spacing w:after="0"/>
        <w:ind w:left="450"/>
        <w:jc w:val="both"/>
        <w:rPr>
          <w:rFonts w:asciiTheme="majorHAnsi" w:eastAsia="Times New Roman" w:hAnsiTheme="majorHAnsi" w:cs="Times New Roman"/>
          <w:i/>
          <w:lang w:eastAsia="en-IN"/>
        </w:rPr>
      </w:pPr>
      <w:r w:rsidRPr="008675CA">
        <w:rPr>
          <w:rFonts w:asciiTheme="majorHAnsi" w:eastAsia="Times New Roman" w:hAnsiTheme="majorHAnsi" w:cs="Times New Roman"/>
          <w:i/>
          <w:lang w:eastAsia="en-IN"/>
        </w:rPr>
        <w:t>a) the review petition is filed within sixty days for the date of the tariff order, and / or</w:t>
      </w:r>
    </w:p>
    <w:p w14:paraId="5B51A667" w14:textId="77777777" w:rsidR="00E7332F" w:rsidRPr="008675CA" w:rsidRDefault="00E7332F" w:rsidP="00E7332F">
      <w:pPr>
        <w:spacing w:after="0"/>
        <w:ind w:left="450"/>
        <w:jc w:val="both"/>
        <w:rPr>
          <w:rFonts w:asciiTheme="majorHAnsi" w:eastAsia="Times New Roman" w:hAnsiTheme="majorHAnsi" w:cs="Times New Roman"/>
          <w:i/>
          <w:lang w:eastAsia="en-IN"/>
        </w:rPr>
      </w:pPr>
      <w:r w:rsidRPr="008675CA">
        <w:rPr>
          <w:rFonts w:asciiTheme="majorHAnsi" w:eastAsia="Times New Roman" w:hAnsiTheme="majorHAnsi" w:cs="Times New Roman"/>
          <w:i/>
          <w:lang w:eastAsia="en-IN"/>
        </w:rPr>
        <w:t>b) there is an error apparent on the face of the record</w:t>
      </w:r>
    </w:p>
    <w:p w14:paraId="6669B1B4" w14:textId="77777777" w:rsidR="00E7332F" w:rsidRPr="008675CA" w:rsidRDefault="00E7332F" w:rsidP="00E7332F">
      <w:pPr>
        <w:spacing w:after="0"/>
        <w:ind w:left="450"/>
        <w:jc w:val="both"/>
        <w:rPr>
          <w:rFonts w:asciiTheme="majorHAnsi" w:hAnsiTheme="majorHAnsi" w:cs="Times New Roman"/>
          <w:i/>
          <w:lang w:eastAsia="en-IN"/>
        </w:rPr>
      </w:pPr>
    </w:p>
    <w:p w14:paraId="7FD342FE" w14:textId="77777777" w:rsidR="00E7332F" w:rsidRPr="008675CA" w:rsidRDefault="00E7332F" w:rsidP="00E7332F">
      <w:pPr>
        <w:spacing w:after="0"/>
        <w:ind w:left="450"/>
        <w:jc w:val="both"/>
        <w:rPr>
          <w:rFonts w:asciiTheme="majorHAnsi" w:hAnsiTheme="majorHAnsi" w:cs="Times New Roman"/>
          <w:i/>
          <w:lang w:eastAsia="en-IN"/>
        </w:rPr>
      </w:pPr>
      <w:r w:rsidRPr="008675CA">
        <w:rPr>
          <w:rFonts w:asciiTheme="majorHAnsi" w:hAnsiTheme="majorHAnsi" w:cs="Times New Roman"/>
          <w:i/>
          <w:lang w:eastAsia="en-IN"/>
        </w:rPr>
        <w:t>22.2 On being satisfied that there is a need to review the tariff of any generating company or the licensee, the Commission may on its own initiate process of review of the tariff of any generating company or the licensee. The Commission may also, in its own motion review any tariff order to correct any clerical error or any error apparent of the face of the record.</w:t>
      </w:r>
    </w:p>
    <w:p w14:paraId="66BE0D19" w14:textId="77777777" w:rsidR="00E7332F" w:rsidRPr="008675CA" w:rsidRDefault="00E7332F" w:rsidP="00737B33">
      <w:pPr>
        <w:spacing w:after="0"/>
        <w:rPr>
          <w:rFonts w:asciiTheme="majorHAnsi" w:hAnsiTheme="majorHAnsi"/>
        </w:rPr>
      </w:pPr>
    </w:p>
    <w:p w14:paraId="2409579E" w14:textId="77777777" w:rsidR="00E7332F" w:rsidRPr="008675CA" w:rsidRDefault="00BC407B" w:rsidP="00D7003E">
      <w:pPr>
        <w:pStyle w:val="head2"/>
        <w:spacing w:before="0"/>
        <w:ind w:left="450"/>
        <w:rPr>
          <w:rFonts w:asciiTheme="majorHAnsi" w:hAnsiTheme="majorHAnsi"/>
          <w:b w:val="0"/>
        </w:rPr>
      </w:pPr>
      <w:bookmarkStart w:id="28" w:name="_Toc27577706"/>
      <w:bookmarkStart w:id="29" w:name="_Toc29241619"/>
      <w:bookmarkStart w:id="30" w:name="_Toc29241735"/>
      <w:bookmarkStart w:id="31" w:name="_Toc29289700"/>
      <w:bookmarkStart w:id="32" w:name="_Toc102318538"/>
      <w:r w:rsidRPr="008675CA">
        <w:rPr>
          <w:rFonts w:asciiTheme="majorHAnsi" w:hAnsiTheme="majorHAnsi"/>
          <w:b w:val="0"/>
        </w:rPr>
        <w:tab/>
      </w:r>
      <w:r w:rsidR="00BE1EF1" w:rsidRPr="008675CA">
        <w:rPr>
          <w:rFonts w:asciiTheme="majorHAnsi" w:hAnsiTheme="majorHAnsi"/>
          <w:b w:val="0"/>
        </w:rPr>
        <w:t xml:space="preserve">In addition to the above, </w:t>
      </w:r>
      <w:r w:rsidR="00E7332F" w:rsidRPr="008675CA">
        <w:rPr>
          <w:rFonts w:asciiTheme="majorHAnsi" w:hAnsiTheme="majorHAnsi"/>
          <w:b w:val="0"/>
        </w:rPr>
        <w:t>clause 21 of MSERC (Condu</w:t>
      </w:r>
      <w:r w:rsidR="00C454F6" w:rsidRPr="008675CA">
        <w:rPr>
          <w:rFonts w:asciiTheme="majorHAnsi" w:hAnsiTheme="majorHAnsi"/>
          <w:b w:val="0"/>
        </w:rPr>
        <w:t>ct of Business) Regulations 2007</w:t>
      </w:r>
      <w:r w:rsidR="00E7332F" w:rsidRPr="008675CA">
        <w:rPr>
          <w:rFonts w:asciiTheme="majorHAnsi" w:hAnsiTheme="majorHAnsi"/>
          <w:b w:val="0"/>
        </w:rPr>
        <w:t xml:space="preserve">, </w:t>
      </w:r>
      <w:r w:rsidR="00BE1EF1" w:rsidRPr="008675CA">
        <w:rPr>
          <w:rFonts w:asciiTheme="majorHAnsi" w:hAnsiTheme="majorHAnsi"/>
          <w:b w:val="0"/>
        </w:rPr>
        <w:t xml:space="preserve">is also important for filing of review petitions, </w:t>
      </w:r>
      <w:r w:rsidR="00E7332F" w:rsidRPr="008675CA">
        <w:rPr>
          <w:rFonts w:asciiTheme="majorHAnsi" w:hAnsiTheme="majorHAnsi"/>
          <w:b w:val="0"/>
        </w:rPr>
        <w:t>which is reproduced below:</w:t>
      </w:r>
      <w:bookmarkEnd w:id="28"/>
      <w:bookmarkEnd w:id="29"/>
      <w:bookmarkEnd w:id="30"/>
      <w:bookmarkEnd w:id="31"/>
      <w:bookmarkEnd w:id="32"/>
    </w:p>
    <w:p w14:paraId="15731295" w14:textId="77777777" w:rsidR="002656FF" w:rsidRPr="008675CA" w:rsidRDefault="00E7332F" w:rsidP="002656FF">
      <w:pPr>
        <w:spacing w:after="0"/>
        <w:ind w:left="450"/>
        <w:jc w:val="both"/>
        <w:rPr>
          <w:rFonts w:asciiTheme="majorHAnsi" w:eastAsia="Times New Roman" w:hAnsiTheme="majorHAnsi" w:cs="Times New Roman"/>
          <w:i/>
          <w:lang w:eastAsia="en-IN"/>
        </w:rPr>
      </w:pPr>
      <w:r w:rsidRPr="008675CA">
        <w:rPr>
          <w:rFonts w:asciiTheme="majorHAnsi" w:eastAsia="Times New Roman" w:hAnsiTheme="majorHAnsi" w:cs="Times New Roman"/>
          <w:i/>
          <w:lang w:eastAsia="en-IN"/>
        </w:rPr>
        <w:t>“A person aggrieved by a decision or order of the Commission from which no appeal is preferred, or is not allowed to be preferred, can seek a review of the order if new and important facts which, after the exercise of due diligence, were not within his knowledge or could not be produced by him at the time when the order was passed or on account of some mistake or error apparent on the face of record or for any other sufficient reason, by making an application within 60 days of the date of the order.”</w:t>
      </w:r>
      <w:bookmarkStart w:id="33" w:name="_Toc29241620"/>
      <w:bookmarkStart w:id="34" w:name="_Toc29241736"/>
      <w:bookmarkStart w:id="35" w:name="_Toc29289701"/>
      <w:bookmarkStart w:id="36" w:name="_Toc27577707"/>
    </w:p>
    <w:p w14:paraId="7A9C8ADC" w14:textId="77777777" w:rsidR="002656FF" w:rsidRPr="008675CA" w:rsidRDefault="002656FF" w:rsidP="002656FF">
      <w:pPr>
        <w:spacing w:after="0"/>
        <w:jc w:val="both"/>
        <w:rPr>
          <w:rFonts w:asciiTheme="majorHAnsi" w:eastAsia="Times New Roman" w:hAnsiTheme="majorHAnsi" w:cs="Times New Roman"/>
          <w:i/>
          <w:lang w:eastAsia="en-IN"/>
        </w:rPr>
      </w:pPr>
    </w:p>
    <w:p w14:paraId="6288049E" w14:textId="4CB1EC37" w:rsidR="00BE1EF1" w:rsidRPr="008675CA" w:rsidRDefault="00BE1EF1" w:rsidP="003D4573">
      <w:pPr>
        <w:pStyle w:val="head2"/>
        <w:ind w:left="360" w:firstLine="0"/>
        <w:rPr>
          <w:rFonts w:asciiTheme="majorHAnsi" w:hAnsiTheme="majorHAnsi"/>
          <w:b w:val="0"/>
          <w:bCs w:val="0"/>
        </w:rPr>
      </w:pPr>
      <w:bookmarkStart w:id="37" w:name="_Toc102318539"/>
      <w:r w:rsidRPr="008675CA">
        <w:rPr>
          <w:rFonts w:asciiTheme="majorHAnsi" w:hAnsiTheme="majorHAnsi"/>
          <w:b w:val="0"/>
          <w:bCs w:val="0"/>
        </w:rPr>
        <w:lastRenderedPageBreak/>
        <w:t>As such, the MSERC (Multi Year Tariff) Regulations 2014 and MSERC (Condu</w:t>
      </w:r>
      <w:r w:rsidR="00C454F6" w:rsidRPr="008675CA">
        <w:rPr>
          <w:rFonts w:asciiTheme="majorHAnsi" w:hAnsiTheme="majorHAnsi"/>
          <w:b w:val="0"/>
          <w:bCs w:val="0"/>
        </w:rPr>
        <w:t>ct of Business) Regulations 2007</w:t>
      </w:r>
      <w:r w:rsidRPr="008675CA">
        <w:rPr>
          <w:rFonts w:asciiTheme="majorHAnsi" w:hAnsiTheme="majorHAnsi"/>
          <w:b w:val="0"/>
          <w:bCs w:val="0"/>
        </w:rPr>
        <w:t xml:space="preserve">, </w:t>
      </w:r>
      <w:r w:rsidR="00C454F6" w:rsidRPr="008675CA">
        <w:rPr>
          <w:rFonts w:asciiTheme="majorHAnsi" w:hAnsiTheme="majorHAnsi"/>
          <w:b w:val="0"/>
          <w:bCs w:val="0"/>
        </w:rPr>
        <w:t>provide</w:t>
      </w:r>
      <w:r w:rsidRPr="008675CA">
        <w:rPr>
          <w:rFonts w:asciiTheme="majorHAnsi" w:hAnsiTheme="majorHAnsi"/>
          <w:b w:val="0"/>
          <w:bCs w:val="0"/>
        </w:rPr>
        <w:t xml:space="preserve"> for the petitioner or any other person aggrieved by an order of the Hon’ble Commission to file a review petition based on new facts and information, which was/were not considered during the time of issue of order or on account of apparent errors or mista</w:t>
      </w:r>
      <w:r w:rsidR="0088307D" w:rsidRPr="008675CA">
        <w:rPr>
          <w:rFonts w:asciiTheme="majorHAnsi" w:hAnsiTheme="majorHAnsi"/>
          <w:b w:val="0"/>
          <w:bCs w:val="0"/>
        </w:rPr>
        <w:t>kes. MePGCL, in this petition</w:t>
      </w:r>
      <w:r w:rsidR="003D4573" w:rsidRPr="008675CA">
        <w:rPr>
          <w:rFonts w:asciiTheme="majorHAnsi" w:hAnsiTheme="majorHAnsi"/>
          <w:b w:val="0"/>
          <w:bCs w:val="0"/>
        </w:rPr>
        <w:t xml:space="preserve"> </w:t>
      </w:r>
      <w:r w:rsidR="0088307D" w:rsidRPr="008675CA">
        <w:rPr>
          <w:rFonts w:asciiTheme="majorHAnsi" w:hAnsiTheme="majorHAnsi"/>
          <w:b w:val="0"/>
          <w:bCs w:val="0"/>
        </w:rPr>
        <w:t xml:space="preserve">prays before </w:t>
      </w:r>
      <w:r w:rsidRPr="008675CA">
        <w:rPr>
          <w:rFonts w:asciiTheme="majorHAnsi" w:hAnsiTheme="majorHAnsi"/>
          <w:b w:val="0"/>
          <w:bCs w:val="0"/>
        </w:rPr>
        <w:t>the Hon’ble Commission to review certain costs which were disallowed in view of the latest facts and information submitted in this petition or in view of apparent errors observed, as detailed in subsequent sections.</w:t>
      </w:r>
      <w:r w:rsidR="003D4573" w:rsidRPr="008675CA">
        <w:rPr>
          <w:rFonts w:asciiTheme="majorHAnsi" w:hAnsiTheme="majorHAnsi"/>
          <w:b w:val="0"/>
          <w:bCs w:val="0"/>
        </w:rPr>
        <w:t xml:space="preserve"> </w:t>
      </w:r>
      <w:r w:rsidRPr="006B51B9">
        <w:rPr>
          <w:rFonts w:asciiTheme="majorHAnsi" w:hAnsiTheme="majorHAnsi"/>
          <w:b w:val="0"/>
          <w:bCs w:val="0"/>
        </w:rPr>
        <w:t xml:space="preserve">At the outset, MePGCL would like to submit that for FY </w:t>
      </w:r>
      <w:r w:rsidR="00852511" w:rsidRPr="006B51B9">
        <w:rPr>
          <w:rFonts w:asciiTheme="majorHAnsi" w:hAnsiTheme="majorHAnsi"/>
          <w:b w:val="0"/>
          <w:bCs w:val="0"/>
        </w:rPr>
        <w:t>2020-21</w:t>
      </w:r>
      <w:r w:rsidRPr="006B51B9">
        <w:rPr>
          <w:rFonts w:asciiTheme="majorHAnsi" w:hAnsiTheme="majorHAnsi"/>
          <w:b w:val="0"/>
          <w:bCs w:val="0"/>
        </w:rPr>
        <w:t xml:space="preserve">, the Hon’ble Commission while truing up </w:t>
      </w:r>
      <w:r w:rsidR="0088307D" w:rsidRPr="006B51B9">
        <w:rPr>
          <w:rFonts w:asciiTheme="majorHAnsi" w:hAnsiTheme="majorHAnsi"/>
          <w:b w:val="0"/>
          <w:bCs w:val="0"/>
        </w:rPr>
        <w:t xml:space="preserve">for these financial years </w:t>
      </w:r>
      <w:r w:rsidRPr="006B51B9">
        <w:rPr>
          <w:rFonts w:asciiTheme="majorHAnsi" w:hAnsiTheme="majorHAnsi"/>
          <w:b w:val="0"/>
          <w:bCs w:val="0"/>
        </w:rPr>
        <w:t xml:space="preserve">in the impugned order, has drastically reduced the ARR of FY </w:t>
      </w:r>
      <w:r w:rsidR="00852511" w:rsidRPr="006B51B9">
        <w:rPr>
          <w:rFonts w:asciiTheme="majorHAnsi" w:hAnsiTheme="majorHAnsi"/>
          <w:b w:val="0"/>
          <w:bCs w:val="0"/>
        </w:rPr>
        <w:t>2020-21</w:t>
      </w:r>
      <w:r w:rsidRPr="006B51B9">
        <w:rPr>
          <w:rFonts w:asciiTheme="majorHAnsi" w:hAnsiTheme="majorHAnsi"/>
          <w:b w:val="0"/>
          <w:bCs w:val="0"/>
        </w:rPr>
        <w:t xml:space="preserve"> from the actual figures submitted by MePGCL as per audited accounts without giving due justification for the same</w:t>
      </w:r>
      <w:r w:rsidR="0088307D" w:rsidRPr="006B51B9">
        <w:rPr>
          <w:rFonts w:asciiTheme="majorHAnsi" w:hAnsiTheme="majorHAnsi"/>
          <w:b w:val="0"/>
          <w:bCs w:val="0"/>
        </w:rPr>
        <w:t xml:space="preserve"> and also on account of errors apparent in the order</w:t>
      </w:r>
      <w:r w:rsidRPr="006B51B9">
        <w:rPr>
          <w:rFonts w:asciiTheme="majorHAnsi" w:hAnsiTheme="majorHAnsi"/>
          <w:b w:val="0"/>
          <w:bCs w:val="0"/>
        </w:rPr>
        <w:t>.</w:t>
      </w:r>
      <w:r w:rsidR="00852511" w:rsidRPr="006B51B9">
        <w:rPr>
          <w:rFonts w:asciiTheme="majorHAnsi" w:hAnsiTheme="majorHAnsi"/>
          <w:b w:val="0"/>
          <w:bCs w:val="0"/>
        </w:rPr>
        <w:t xml:space="preserve"> </w:t>
      </w:r>
      <w:r w:rsidR="00F83CD7" w:rsidRPr="006B51B9">
        <w:rPr>
          <w:rFonts w:asciiTheme="majorHAnsi" w:hAnsiTheme="majorHAnsi"/>
          <w:b w:val="0"/>
          <w:bCs w:val="0"/>
        </w:rPr>
        <w:t>T</w:t>
      </w:r>
      <w:r w:rsidR="00852511" w:rsidRPr="006B51B9">
        <w:rPr>
          <w:rFonts w:asciiTheme="majorHAnsi" w:hAnsiTheme="majorHAnsi"/>
          <w:b w:val="0"/>
          <w:bCs w:val="0"/>
        </w:rPr>
        <w:t>he true up for FY 2020-21</w:t>
      </w:r>
      <w:r w:rsidR="003D395D" w:rsidRPr="006B51B9">
        <w:rPr>
          <w:rFonts w:asciiTheme="majorHAnsi" w:hAnsiTheme="majorHAnsi"/>
          <w:b w:val="0"/>
          <w:bCs w:val="0"/>
        </w:rPr>
        <w:t xml:space="preserve"> </w:t>
      </w:r>
      <w:r w:rsidR="0031026F" w:rsidRPr="006B51B9">
        <w:rPr>
          <w:rFonts w:asciiTheme="majorHAnsi" w:hAnsiTheme="majorHAnsi"/>
          <w:b w:val="0"/>
          <w:bCs w:val="0"/>
        </w:rPr>
        <w:t>issued vide order dated.22</w:t>
      </w:r>
      <w:r w:rsidR="0031026F" w:rsidRPr="006B51B9">
        <w:rPr>
          <w:rFonts w:asciiTheme="majorHAnsi" w:hAnsiTheme="majorHAnsi"/>
          <w:b w:val="0"/>
          <w:bCs w:val="0"/>
          <w:vertAlign w:val="superscript"/>
        </w:rPr>
        <w:t>nd</w:t>
      </w:r>
      <w:r w:rsidR="0031026F" w:rsidRPr="006B51B9">
        <w:rPr>
          <w:rFonts w:asciiTheme="majorHAnsi" w:hAnsiTheme="majorHAnsi"/>
          <w:b w:val="0"/>
          <w:bCs w:val="0"/>
        </w:rPr>
        <w:t xml:space="preserve"> March.2023 </w:t>
      </w:r>
      <w:r w:rsidR="0052759B" w:rsidRPr="006B51B9">
        <w:rPr>
          <w:rFonts w:asciiTheme="majorHAnsi" w:hAnsiTheme="majorHAnsi"/>
          <w:b w:val="0"/>
          <w:bCs w:val="0"/>
        </w:rPr>
        <w:t>has</w:t>
      </w:r>
      <w:r w:rsidR="00852511" w:rsidRPr="006B51B9">
        <w:rPr>
          <w:rFonts w:asciiTheme="majorHAnsi" w:hAnsiTheme="majorHAnsi"/>
          <w:b w:val="0"/>
          <w:bCs w:val="0"/>
        </w:rPr>
        <w:t xml:space="preserve"> </w:t>
      </w:r>
      <w:r w:rsidR="00F83CD7" w:rsidRPr="006B51B9">
        <w:rPr>
          <w:rFonts w:asciiTheme="majorHAnsi" w:hAnsiTheme="majorHAnsi"/>
          <w:b w:val="0"/>
          <w:bCs w:val="0"/>
        </w:rPr>
        <w:t>already</w:t>
      </w:r>
      <w:r w:rsidR="00852511" w:rsidRPr="006B51B9">
        <w:rPr>
          <w:rFonts w:asciiTheme="majorHAnsi" w:hAnsiTheme="majorHAnsi"/>
          <w:b w:val="0"/>
          <w:bCs w:val="0"/>
        </w:rPr>
        <w:t xml:space="preserve"> adjusted in the</w:t>
      </w:r>
      <w:r w:rsidR="00F83CD7" w:rsidRPr="006B51B9">
        <w:rPr>
          <w:rFonts w:asciiTheme="majorHAnsi" w:hAnsiTheme="majorHAnsi"/>
          <w:b w:val="0"/>
          <w:bCs w:val="0"/>
        </w:rPr>
        <w:t xml:space="preserve"> generation</w:t>
      </w:r>
      <w:r w:rsidR="00852511" w:rsidRPr="006B51B9">
        <w:rPr>
          <w:rFonts w:asciiTheme="majorHAnsi" w:hAnsiTheme="majorHAnsi"/>
          <w:b w:val="0"/>
          <w:bCs w:val="0"/>
        </w:rPr>
        <w:t xml:space="preserve"> tariff</w:t>
      </w:r>
      <w:r w:rsidR="0031026F" w:rsidRPr="006B51B9">
        <w:rPr>
          <w:rFonts w:asciiTheme="majorHAnsi" w:hAnsiTheme="majorHAnsi"/>
          <w:b w:val="0"/>
          <w:bCs w:val="0"/>
        </w:rPr>
        <w:t xml:space="preserve"> order </w:t>
      </w:r>
      <w:r w:rsidR="00852511" w:rsidRPr="006B51B9">
        <w:rPr>
          <w:rFonts w:asciiTheme="majorHAnsi" w:hAnsiTheme="majorHAnsi"/>
          <w:b w:val="0"/>
          <w:bCs w:val="0"/>
        </w:rPr>
        <w:t xml:space="preserve">for FY </w:t>
      </w:r>
      <w:r w:rsidR="00F83CD7" w:rsidRPr="006B51B9">
        <w:rPr>
          <w:rFonts w:asciiTheme="majorHAnsi" w:hAnsiTheme="majorHAnsi"/>
          <w:b w:val="0"/>
          <w:bCs w:val="0"/>
        </w:rPr>
        <w:t>2023-24</w:t>
      </w:r>
      <w:r w:rsidR="0031026F" w:rsidRPr="006B51B9">
        <w:rPr>
          <w:rFonts w:asciiTheme="majorHAnsi" w:hAnsiTheme="majorHAnsi"/>
          <w:b w:val="0"/>
          <w:bCs w:val="0"/>
        </w:rPr>
        <w:t xml:space="preserve">. This adjustment of True up for FY 2020-21 adjusted in the generation tariff order for FY 2023-24 have to </w:t>
      </w:r>
      <w:r w:rsidR="00550B1D" w:rsidRPr="006B51B9">
        <w:rPr>
          <w:rFonts w:asciiTheme="majorHAnsi" w:hAnsiTheme="majorHAnsi"/>
          <w:b w:val="0"/>
          <w:bCs w:val="0"/>
        </w:rPr>
        <w:t xml:space="preserve">be </w:t>
      </w:r>
      <w:r w:rsidR="0031026F" w:rsidRPr="006B51B9">
        <w:rPr>
          <w:rFonts w:asciiTheme="majorHAnsi" w:hAnsiTheme="majorHAnsi"/>
          <w:b w:val="0"/>
          <w:bCs w:val="0"/>
        </w:rPr>
        <w:t>review</w:t>
      </w:r>
      <w:r w:rsidR="00550B1D" w:rsidRPr="006B51B9">
        <w:rPr>
          <w:rFonts w:asciiTheme="majorHAnsi" w:hAnsiTheme="majorHAnsi"/>
          <w:b w:val="0"/>
          <w:bCs w:val="0"/>
        </w:rPr>
        <w:t>ed</w:t>
      </w:r>
      <w:r w:rsidR="0031026F" w:rsidRPr="006B51B9">
        <w:rPr>
          <w:rFonts w:asciiTheme="majorHAnsi" w:hAnsiTheme="majorHAnsi"/>
          <w:b w:val="0"/>
          <w:bCs w:val="0"/>
        </w:rPr>
        <w:t xml:space="preserve"> since there are some flaws and error in the order. T</w:t>
      </w:r>
      <w:r w:rsidR="00852511" w:rsidRPr="006B51B9">
        <w:rPr>
          <w:rFonts w:asciiTheme="majorHAnsi" w:hAnsiTheme="majorHAnsi"/>
          <w:b w:val="0"/>
          <w:bCs w:val="0"/>
        </w:rPr>
        <w:t xml:space="preserve">herefore, </w:t>
      </w:r>
      <w:r w:rsidR="00F83CD7" w:rsidRPr="006B51B9">
        <w:rPr>
          <w:rFonts w:asciiTheme="majorHAnsi" w:hAnsiTheme="majorHAnsi"/>
          <w:b w:val="0"/>
          <w:bCs w:val="0"/>
        </w:rPr>
        <w:t xml:space="preserve">the </w:t>
      </w:r>
      <w:r w:rsidR="0031026F" w:rsidRPr="006B51B9">
        <w:rPr>
          <w:rFonts w:asciiTheme="majorHAnsi" w:hAnsiTheme="majorHAnsi"/>
          <w:b w:val="0"/>
          <w:bCs w:val="0"/>
        </w:rPr>
        <w:t>order issued by the Hon’ble Commission has</w:t>
      </w:r>
      <w:r w:rsidR="00227597" w:rsidRPr="006B51B9">
        <w:rPr>
          <w:rFonts w:asciiTheme="majorHAnsi" w:hAnsiTheme="majorHAnsi"/>
          <w:b w:val="0"/>
          <w:bCs w:val="0"/>
        </w:rPr>
        <w:t xml:space="preserve"> to </w:t>
      </w:r>
      <w:r w:rsidR="00550B1D" w:rsidRPr="006B51B9">
        <w:rPr>
          <w:rFonts w:asciiTheme="majorHAnsi" w:hAnsiTheme="majorHAnsi"/>
          <w:b w:val="0"/>
          <w:bCs w:val="0"/>
        </w:rPr>
        <w:t xml:space="preserve">be </w:t>
      </w:r>
      <w:r w:rsidR="00227597" w:rsidRPr="006B51B9">
        <w:rPr>
          <w:rFonts w:asciiTheme="majorHAnsi" w:hAnsiTheme="majorHAnsi"/>
          <w:b w:val="0"/>
          <w:bCs w:val="0"/>
        </w:rPr>
        <w:t>review</w:t>
      </w:r>
      <w:r w:rsidR="00550B1D" w:rsidRPr="006B51B9">
        <w:rPr>
          <w:rFonts w:asciiTheme="majorHAnsi" w:hAnsiTheme="majorHAnsi"/>
          <w:b w:val="0"/>
          <w:bCs w:val="0"/>
        </w:rPr>
        <w:t xml:space="preserve">ed </w:t>
      </w:r>
      <w:r w:rsidR="0031026F" w:rsidRPr="006B51B9">
        <w:rPr>
          <w:rFonts w:asciiTheme="majorHAnsi" w:hAnsiTheme="majorHAnsi"/>
          <w:b w:val="0"/>
          <w:bCs w:val="0"/>
        </w:rPr>
        <w:t xml:space="preserve">and have to be adjusted in the </w:t>
      </w:r>
      <w:r w:rsidR="00B775D3" w:rsidRPr="006B51B9">
        <w:rPr>
          <w:rFonts w:asciiTheme="majorHAnsi" w:hAnsiTheme="majorHAnsi"/>
          <w:b w:val="0"/>
          <w:bCs w:val="0"/>
        </w:rPr>
        <w:t xml:space="preserve">review petition of generation </w:t>
      </w:r>
      <w:r w:rsidR="0031026F" w:rsidRPr="006B51B9">
        <w:rPr>
          <w:rFonts w:asciiTheme="majorHAnsi" w:hAnsiTheme="majorHAnsi"/>
          <w:b w:val="0"/>
          <w:bCs w:val="0"/>
        </w:rPr>
        <w:t xml:space="preserve">tariff for FY </w:t>
      </w:r>
      <w:r w:rsidR="00B775D3" w:rsidRPr="006B51B9">
        <w:rPr>
          <w:rFonts w:asciiTheme="majorHAnsi" w:hAnsiTheme="majorHAnsi"/>
          <w:b w:val="0"/>
          <w:bCs w:val="0"/>
        </w:rPr>
        <w:t>2023-24</w:t>
      </w:r>
      <w:r w:rsidR="0031026F" w:rsidRPr="006B51B9">
        <w:rPr>
          <w:rFonts w:asciiTheme="majorHAnsi" w:hAnsiTheme="majorHAnsi"/>
          <w:b w:val="0"/>
          <w:bCs w:val="0"/>
        </w:rPr>
        <w:t>.</w:t>
      </w:r>
      <w:r w:rsidR="00172DA3" w:rsidRPr="006B51B9">
        <w:rPr>
          <w:rFonts w:asciiTheme="majorHAnsi" w:hAnsiTheme="majorHAnsi"/>
          <w:b w:val="0"/>
          <w:bCs w:val="0"/>
        </w:rPr>
        <w:t xml:space="preserve"> </w:t>
      </w:r>
      <w:r w:rsidR="007D2188" w:rsidRPr="006B51B9">
        <w:rPr>
          <w:rFonts w:asciiTheme="majorHAnsi" w:hAnsiTheme="majorHAnsi"/>
          <w:b w:val="0"/>
          <w:bCs w:val="0"/>
        </w:rPr>
        <w:t>As such, MePGCL humbly prays before</w:t>
      </w:r>
      <w:r w:rsidRPr="006B51B9">
        <w:rPr>
          <w:rFonts w:asciiTheme="majorHAnsi" w:hAnsiTheme="majorHAnsi"/>
          <w:b w:val="0"/>
          <w:bCs w:val="0"/>
        </w:rPr>
        <w:t xml:space="preserve"> the </w:t>
      </w:r>
      <w:r w:rsidR="007D2188" w:rsidRPr="006B51B9">
        <w:rPr>
          <w:rFonts w:asciiTheme="majorHAnsi" w:hAnsiTheme="majorHAnsi"/>
          <w:b w:val="0"/>
          <w:bCs w:val="0"/>
        </w:rPr>
        <w:t xml:space="preserve">Hon’ble </w:t>
      </w:r>
      <w:r w:rsidRPr="006B51B9">
        <w:rPr>
          <w:rFonts w:asciiTheme="majorHAnsi" w:hAnsiTheme="majorHAnsi"/>
          <w:b w:val="0"/>
          <w:bCs w:val="0"/>
        </w:rPr>
        <w:t>Commission to kindly review the</w:t>
      </w:r>
      <w:r w:rsidRPr="008675CA">
        <w:rPr>
          <w:rFonts w:asciiTheme="majorHAnsi" w:hAnsiTheme="majorHAnsi"/>
          <w:b w:val="0"/>
          <w:bCs w:val="0"/>
        </w:rPr>
        <w:t xml:space="preserve"> impugned order and consider the submissions made by MePGCL in this review petition.</w:t>
      </w:r>
      <w:bookmarkEnd w:id="33"/>
      <w:bookmarkEnd w:id="34"/>
      <w:bookmarkEnd w:id="35"/>
      <w:bookmarkEnd w:id="37"/>
    </w:p>
    <w:p w14:paraId="1726146B" w14:textId="77777777" w:rsidR="00E7332F" w:rsidRDefault="003D4573" w:rsidP="003D4573">
      <w:pPr>
        <w:pStyle w:val="head2"/>
        <w:ind w:left="360" w:hanging="342"/>
        <w:rPr>
          <w:rFonts w:asciiTheme="majorHAnsi" w:hAnsiTheme="majorHAnsi"/>
          <w:b w:val="0"/>
        </w:rPr>
      </w:pPr>
      <w:bookmarkStart w:id="38" w:name="_Toc29241621"/>
      <w:bookmarkStart w:id="39" w:name="_Toc29241737"/>
      <w:bookmarkStart w:id="40" w:name="_Toc29289702"/>
      <w:bookmarkStart w:id="41" w:name="_Toc102318540"/>
      <w:r w:rsidRPr="008675CA">
        <w:rPr>
          <w:rFonts w:asciiTheme="majorHAnsi" w:hAnsiTheme="majorHAnsi"/>
          <w:b w:val="0"/>
        </w:rPr>
        <w:tab/>
      </w:r>
      <w:r w:rsidR="00E7332F" w:rsidRPr="008675CA">
        <w:rPr>
          <w:rFonts w:asciiTheme="majorHAnsi" w:hAnsiTheme="majorHAnsi"/>
          <w:b w:val="0"/>
        </w:rPr>
        <w:t xml:space="preserve">Further, as per the above clauses, the timeline specified by MSERC for submission of review petition is within 60 days from the date of the order of the Hon’ble Commission, which is </w:t>
      </w:r>
      <w:r w:rsidR="00172DA3" w:rsidRPr="008675CA">
        <w:rPr>
          <w:rFonts w:asciiTheme="majorHAnsi" w:hAnsiTheme="majorHAnsi"/>
          <w:b w:val="0"/>
        </w:rPr>
        <w:t>2</w:t>
      </w:r>
      <w:r w:rsidR="0052759B" w:rsidRPr="008675CA">
        <w:rPr>
          <w:rFonts w:asciiTheme="majorHAnsi" w:hAnsiTheme="majorHAnsi"/>
          <w:b w:val="0"/>
        </w:rPr>
        <w:t>2</w:t>
      </w:r>
      <w:r w:rsidR="0052759B" w:rsidRPr="008675CA">
        <w:rPr>
          <w:rFonts w:asciiTheme="majorHAnsi" w:hAnsiTheme="majorHAnsi"/>
          <w:b w:val="0"/>
          <w:vertAlign w:val="superscript"/>
        </w:rPr>
        <w:t>nd</w:t>
      </w:r>
      <w:r w:rsidR="0052759B" w:rsidRPr="008675CA">
        <w:rPr>
          <w:rFonts w:asciiTheme="majorHAnsi" w:hAnsiTheme="majorHAnsi"/>
          <w:b w:val="0"/>
        </w:rPr>
        <w:t xml:space="preserve"> </w:t>
      </w:r>
      <w:r w:rsidR="00227597" w:rsidRPr="008675CA">
        <w:rPr>
          <w:rFonts w:asciiTheme="majorHAnsi" w:hAnsiTheme="majorHAnsi"/>
          <w:b w:val="0"/>
        </w:rPr>
        <w:t>March</w:t>
      </w:r>
      <w:r w:rsidR="003344F8" w:rsidRPr="008675CA">
        <w:rPr>
          <w:rFonts w:asciiTheme="majorHAnsi" w:hAnsiTheme="majorHAnsi"/>
          <w:b w:val="0"/>
        </w:rPr>
        <w:t>, 202</w:t>
      </w:r>
      <w:r w:rsidR="00227597" w:rsidRPr="008675CA">
        <w:rPr>
          <w:rFonts w:asciiTheme="majorHAnsi" w:hAnsiTheme="majorHAnsi"/>
          <w:b w:val="0"/>
        </w:rPr>
        <w:t>3</w:t>
      </w:r>
      <w:r w:rsidR="0088307D" w:rsidRPr="008675CA">
        <w:rPr>
          <w:rFonts w:asciiTheme="majorHAnsi" w:hAnsiTheme="majorHAnsi"/>
          <w:b w:val="0"/>
        </w:rPr>
        <w:t>.</w:t>
      </w:r>
      <w:r w:rsidR="00227597" w:rsidRPr="008675CA">
        <w:rPr>
          <w:rFonts w:asciiTheme="majorHAnsi" w:hAnsiTheme="majorHAnsi"/>
          <w:b w:val="0"/>
        </w:rPr>
        <w:t xml:space="preserve"> </w:t>
      </w:r>
      <w:r w:rsidR="00E7332F" w:rsidRPr="008675CA">
        <w:rPr>
          <w:rFonts w:asciiTheme="majorHAnsi" w:hAnsiTheme="majorHAnsi"/>
          <w:b w:val="0"/>
        </w:rPr>
        <w:t>MePGCL would like to submit that it is filing the review petition within the allowed timeline and as such, the Hon’ble Commission is humbly prayed to admit the same.</w:t>
      </w:r>
      <w:bookmarkEnd w:id="36"/>
      <w:bookmarkEnd w:id="38"/>
      <w:bookmarkEnd w:id="39"/>
      <w:bookmarkEnd w:id="40"/>
      <w:bookmarkEnd w:id="41"/>
    </w:p>
    <w:p w14:paraId="11558CEE" w14:textId="77777777" w:rsidR="009C218C" w:rsidRDefault="009C218C" w:rsidP="009C218C">
      <w:pPr>
        <w:pStyle w:val="head2"/>
        <w:spacing w:before="0" w:after="0"/>
        <w:ind w:left="360" w:hanging="342"/>
        <w:rPr>
          <w:rFonts w:asciiTheme="majorHAnsi" w:hAnsiTheme="majorHAnsi"/>
          <w:b w:val="0"/>
          <w:sz w:val="12"/>
        </w:rPr>
      </w:pPr>
    </w:p>
    <w:p w14:paraId="25F26977" w14:textId="77777777" w:rsidR="009C218C" w:rsidRDefault="009C218C" w:rsidP="009C218C">
      <w:pPr>
        <w:pStyle w:val="head2"/>
        <w:spacing w:before="0" w:after="0"/>
        <w:ind w:left="360" w:hanging="342"/>
        <w:rPr>
          <w:rFonts w:asciiTheme="majorHAnsi" w:hAnsiTheme="majorHAnsi"/>
          <w:b w:val="0"/>
          <w:sz w:val="12"/>
        </w:rPr>
      </w:pPr>
    </w:p>
    <w:p w14:paraId="5FC4CB14" w14:textId="77777777" w:rsidR="009C218C" w:rsidRDefault="009C218C" w:rsidP="009C218C">
      <w:pPr>
        <w:pStyle w:val="head2"/>
        <w:spacing w:before="0" w:after="0"/>
        <w:ind w:left="360" w:hanging="342"/>
        <w:rPr>
          <w:rFonts w:asciiTheme="majorHAnsi" w:hAnsiTheme="majorHAnsi"/>
          <w:b w:val="0"/>
          <w:sz w:val="12"/>
        </w:rPr>
      </w:pPr>
    </w:p>
    <w:p w14:paraId="1BAF97BC" w14:textId="77777777" w:rsidR="009C218C" w:rsidRDefault="009C218C" w:rsidP="009C218C">
      <w:pPr>
        <w:pStyle w:val="head2"/>
        <w:spacing w:before="0" w:after="0"/>
        <w:ind w:left="360" w:hanging="342"/>
        <w:rPr>
          <w:rFonts w:asciiTheme="majorHAnsi" w:hAnsiTheme="majorHAnsi"/>
          <w:b w:val="0"/>
          <w:sz w:val="12"/>
        </w:rPr>
      </w:pPr>
    </w:p>
    <w:p w14:paraId="3A5CB621" w14:textId="77777777" w:rsidR="009C218C" w:rsidRDefault="009C218C" w:rsidP="009C218C">
      <w:pPr>
        <w:pStyle w:val="head2"/>
        <w:spacing w:before="0" w:after="0"/>
        <w:ind w:left="360" w:hanging="342"/>
        <w:rPr>
          <w:rFonts w:asciiTheme="majorHAnsi" w:hAnsiTheme="majorHAnsi"/>
          <w:b w:val="0"/>
          <w:sz w:val="12"/>
        </w:rPr>
      </w:pPr>
    </w:p>
    <w:p w14:paraId="11C3D79F" w14:textId="77777777" w:rsidR="009C218C" w:rsidRDefault="009C218C" w:rsidP="009C218C">
      <w:pPr>
        <w:pStyle w:val="head2"/>
        <w:spacing w:before="0" w:after="0"/>
        <w:ind w:left="360" w:hanging="342"/>
        <w:rPr>
          <w:rFonts w:asciiTheme="majorHAnsi" w:hAnsiTheme="majorHAnsi"/>
          <w:b w:val="0"/>
          <w:sz w:val="12"/>
        </w:rPr>
      </w:pPr>
    </w:p>
    <w:p w14:paraId="2133BB1E" w14:textId="77777777" w:rsidR="009C218C" w:rsidRDefault="009C218C" w:rsidP="009C218C">
      <w:pPr>
        <w:pStyle w:val="head2"/>
        <w:spacing w:before="0" w:after="0"/>
        <w:ind w:left="360" w:hanging="342"/>
        <w:rPr>
          <w:rFonts w:asciiTheme="majorHAnsi" w:hAnsiTheme="majorHAnsi"/>
          <w:b w:val="0"/>
          <w:sz w:val="12"/>
        </w:rPr>
      </w:pPr>
    </w:p>
    <w:p w14:paraId="589E24E5" w14:textId="77777777" w:rsidR="009C218C" w:rsidRDefault="009C218C" w:rsidP="009C218C">
      <w:pPr>
        <w:pStyle w:val="head2"/>
        <w:spacing w:before="0" w:after="0"/>
        <w:ind w:left="360" w:hanging="342"/>
        <w:rPr>
          <w:rFonts w:asciiTheme="majorHAnsi" w:hAnsiTheme="majorHAnsi"/>
          <w:b w:val="0"/>
          <w:sz w:val="12"/>
        </w:rPr>
      </w:pPr>
    </w:p>
    <w:p w14:paraId="45FA4B78" w14:textId="77777777" w:rsidR="009C218C" w:rsidRDefault="009C218C" w:rsidP="009C218C">
      <w:pPr>
        <w:pStyle w:val="head2"/>
        <w:spacing w:before="0" w:after="0"/>
        <w:ind w:left="360" w:hanging="342"/>
        <w:rPr>
          <w:rFonts w:asciiTheme="majorHAnsi" w:hAnsiTheme="majorHAnsi"/>
          <w:b w:val="0"/>
          <w:sz w:val="12"/>
        </w:rPr>
      </w:pPr>
    </w:p>
    <w:p w14:paraId="2E2E121D" w14:textId="77777777" w:rsidR="009C218C" w:rsidRDefault="009C218C" w:rsidP="009C218C">
      <w:pPr>
        <w:pStyle w:val="head2"/>
        <w:spacing w:before="0" w:after="0"/>
        <w:ind w:left="360" w:hanging="342"/>
        <w:rPr>
          <w:rFonts w:asciiTheme="majorHAnsi" w:hAnsiTheme="majorHAnsi"/>
          <w:b w:val="0"/>
          <w:sz w:val="12"/>
        </w:rPr>
      </w:pPr>
    </w:p>
    <w:p w14:paraId="38799C02" w14:textId="77777777" w:rsidR="009C218C" w:rsidRDefault="009C218C" w:rsidP="009C218C">
      <w:pPr>
        <w:pStyle w:val="head2"/>
        <w:spacing w:before="0" w:after="0"/>
        <w:ind w:left="360" w:hanging="342"/>
        <w:rPr>
          <w:rFonts w:asciiTheme="majorHAnsi" w:hAnsiTheme="majorHAnsi"/>
          <w:b w:val="0"/>
          <w:sz w:val="12"/>
        </w:rPr>
      </w:pPr>
    </w:p>
    <w:p w14:paraId="2C62B86B" w14:textId="77777777" w:rsidR="009C218C" w:rsidRDefault="009C218C" w:rsidP="009C218C">
      <w:pPr>
        <w:pStyle w:val="head2"/>
        <w:spacing w:before="0" w:after="0"/>
        <w:ind w:left="360" w:hanging="342"/>
        <w:rPr>
          <w:rFonts w:asciiTheme="majorHAnsi" w:hAnsiTheme="majorHAnsi"/>
          <w:b w:val="0"/>
          <w:sz w:val="12"/>
        </w:rPr>
      </w:pPr>
    </w:p>
    <w:p w14:paraId="6249A37B" w14:textId="77777777" w:rsidR="009C218C" w:rsidRDefault="009C218C" w:rsidP="009C218C">
      <w:pPr>
        <w:pStyle w:val="head2"/>
        <w:spacing w:before="0" w:after="0"/>
        <w:ind w:left="360" w:hanging="342"/>
        <w:rPr>
          <w:rFonts w:asciiTheme="majorHAnsi" w:hAnsiTheme="majorHAnsi"/>
          <w:b w:val="0"/>
          <w:sz w:val="12"/>
        </w:rPr>
      </w:pPr>
    </w:p>
    <w:p w14:paraId="3E1191E1" w14:textId="77777777" w:rsidR="009C218C" w:rsidRDefault="009C218C" w:rsidP="009C218C">
      <w:pPr>
        <w:pStyle w:val="head2"/>
        <w:spacing w:before="0" w:after="0"/>
        <w:ind w:left="360" w:hanging="342"/>
        <w:rPr>
          <w:rFonts w:asciiTheme="majorHAnsi" w:hAnsiTheme="majorHAnsi"/>
          <w:b w:val="0"/>
          <w:sz w:val="12"/>
        </w:rPr>
      </w:pPr>
    </w:p>
    <w:p w14:paraId="431649AB" w14:textId="77777777" w:rsidR="009C218C" w:rsidRDefault="009C218C" w:rsidP="009C218C">
      <w:pPr>
        <w:pStyle w:val="head2"/>
        <w:spacing w:before="0" w:after="0"/>
        <w:ind w:left="360" w:hanging="342"/>
        <w:rPr>
          <w:rFonts w:asciiTheme="majorHAnsi" w:hAnsiTheme="majorHAnsi"/>
          <w:b w:val="0"/>
          <w:sz w:val="12"/>
        </w:rPr>
      </w:pPr>
    </w:p>
    <w:p w14:paraId="4914F24C" w14:textId="77777777" w:rsidR="009C218C" w:rsidRDefault="009C218C" w:rsidP="009C218C">
      <w:pPr>
        <w:pStyle w:val="head2"/>
        <w:spacing w:before="0" w:after="0"/>
        <w:ind w:left="360" w:hanging="342"/>
        <w:rPr>
          <w:rFonts w:asciiTheme="majorHAnsi" w:hAnsiTheme="majorHAnsi"/>
          <w:b w:val="0"/>
          <w:sz w:val="12"/>
        </w:rPr>
      </w:pPr>
    </w:p>
    <w:p w14:paraId="43A02AE5" w14:textId="77777777" w:rsidR="009C218C" w:rsidRDefault="009C218C" w:rsidP="009C218C">
      <w:pPr>
        <w:pStyle w:val="head2"/>
        <w:spacing w:before="0" w:after="0"/>
        <w:ind w:left="360" w:hanging="342"/>
        <w:rPr>
          <w:rFonts w:asciiTheme="majorHAnsi" w:hAnsiTheme="majorHAnsi"/>
          <w:b w:val="0"/>
          <w:sz w:val="12"/>
        </w:rPr>
      </w:pPr>
    </w:p>
    <w:p w14:paraId="729A727F" w14:textId="77777777" w:rsidR="009C218C" w:rsidRDefault="009C218C" w:rsidP="009C218C">
      <w:pPr>
        <w:pStyle w:val="head2"/>
        <w:spacing w:before="0" w:after="0"/>
        <w:ind w:left="360" w:hanging="342"/>
        <w:rPr>
          <w:rFonts w:asciiTheme="majorHAnsi" w:hAnsiTheme="majorHAnsi"/>
          <w:b w:val="0"/>
          <w:sz w:val="12"/>
        </w:rPr>
      </w:pPr>
    </w:p>
    <w:p w14:paraId="2A277424" w14:textId="77777777" w:rsidR="009C218C" w:rsidRDefault="009C218C" w:rsidP="009C218C">
      <w:pPr>
        <w:pStyle w:val="head2"/>
        <w:spacing w:before="0" w:after="0"/>
        <w:ind w:left="360" w:hanging="342"/>
        <w:rPr>
          <w:rFonts w:asciiTheme="majorHAnsi" w:hAnsiTheme="majorHAnsi"/>
          <w:b w:val="0"/>
          <w:sz w:val="12"/>
        </w:rPr>
      </w:pPr>
    </w:p>
    <w:p w14:paraId="469F4240" w14:textId="77777777" w:rsidR="009C218C" w:rsidRDefault="009C218C" w:rsidP="009C218C">
      <w:pPr>
        <w:pStyle w:val="head2"/>
        <w:spacing w:before="0" w:after="0"/>
        <w:ind w:left="360" w:hanging="342"/>
        <w:rPr>
          <w:rFonts w:asciiTheme="majorHAnsi" w:hAnsiTheme="majorHAnsi"/>
          <w:b w:val="0"/>
          <w:sz w:val="12"/>
        </w:rPr>
      </w:pPr>
    </w:p>
    <w:p w14:paraId="66BD5B6D" w14:textId="77777777" w:rsidR="009C218C" w:rsidRDefault="009C218C" w:rsidP="009C218C">
      <w:pPr>
        <w:pStyle w:val="head2"/>
        <w:spacing w:before="0" w:after="0"/>
        <w:ind w:left="360" w:hanging="342"/>
        <w:rPr>
          <w:rFonts w:asciiTheme="majorHAnsi" w:hAnsiTheme="majorHAnsi"/>
          <w:b w:val="0"/>
          <w:sz w:val="12"/>
        </w:rPr>
      </w:pPr>
    </w:p>
    <w:p w14:paraId="09695E0F" w14:textId="77777777" w:rsidR="009C218C" w:rsidRDefault="009C218C" w:rsidP="009C218C">
      <w:pPr>
        <w:pStyle w:val="head2"/>
        <w:spacing w:before="0" w:after="0"/>
        <w:ind w:left="360" w:hanging="342"/>
        <w:rPr>
          <w:rFonts w:asciiTheme="majorHAnsi" w:hAnsiTheme="majorHAnsi"/>
          <w:b w:val="0"/>
          <w:sz w:val="12"/>
        </w:rPr>
      </w:pPr>
    </w:p>
    <w:p w14:paraId="2A4A29C9" w14:textId="77777777" w:rsidR="009C218C" w:rsidRDefault="009C218C" w:rsidP="009C218C">
      <w:pPr>
        <w:pStyle w:val="head2"/>
        <w:spacing w:before="0" w:after="0"/>
        <w:ind w:left="360" w:hanging="342"/>
        <w:rPr>
          <w:rFonts w:asciiTheme="majorHAnsi" w:hAnsiTheme="majorHAnsi"/>
          <w:b w:val="0"/>
          <w:sz w:val="12"/>
        </w:rPr>
      </w:pPr>
    </w:p>
    <w:p w14:paraId="7A31D0AB" w14:textId="77777777" w:rsidR="009C218C" w:rsidRDefault="009C218C" w:rsidP="009C218C">
      <w:pPr>
        <w:pStyle w:val="head2"/>
        <w:spacing w:before="0" w:after="0"/>
        <w:ind w:left="360" w:hanging="342"/>
        <w:rPr>
          <w:rFonts w:asciiTheme="majorHAnsi" w:hAnsiTheme="majorHAnsi"/>
          <w:b w:val="0"/>
          <w:sz w:val="12"/>
        </w:rPr>
      </w:pPr>
    </w:p>
    <w:p w14:paraId="641F295A" w14:textId="77777777" w:rsidR="009C218C" w:rsidRDefault="009C218C" w:rsidP="009C218C">
      <w:pPr>
        <w:pStyle w:val="head2"/>
        <w:spacing w:before="0" w:after="0"/>
        <w:ind w:left="360" w:hanging="342"/>
        <w:rPr>
          <w:rFonts w:asciiTheme="majorHAnsi" w:hAnsiTheme="majorHAnsi"/>
          <w:b w:val="0"/>
          <w:sz w:val="12"/>
        </w:rPr>
      </w:pPr>
    </w:p>
    <w:p w14:paraId="3DEF4234" w14:textId="77777777" w:rsidR="00705436" w:rsidRDefault="00705436" w:rsidP="009C218C">
      <w:pPr>
        <w:pStyle w:val="head2"/>
        <w:spacing w:before="0" w:after="0"/>
        <w:ind w:left="360" w:hanging="342"/>
        <w:rPr>
          <w:rFonts w:asciiTheme="majorHAnsi" w:hAnsiTheme="majorHAnsi"/>
          <w:b w:val="0"/>
          <w:sz w:val="12"/>
        </w:rPr>
      </w:pPr>
    </w:p>
    <w:p w14:paraId="1ECBA63A" w14:textId="77777777" w:rsidR="00705436" w:rsidRDefault="00705436" w:rsidP="009C218C">
      <w:pPr>
        <w:pStyle w:val="head2"/>
        <w:spacing w:before="0" w:after="0"/>
        <w:ind w:left="360" w:hanging="342"/>
        <w:rPr>
          <w:rFonts w:asciiTheme="majorHAnsi" w:hAnsiTheme="majorHAnsi"/>
          <w:b w:val="0"/>
          <w:sz w:val="12"/>
        </w:rPr>
      </w:pPr>
    </w:p>
    <w:p w14:paraId="05B4B0AD" w14:textId="77777777" w:rsidR="00705436" w:rsidRDefault="00705436" w:rsidP="009C218C">
      <w:pPr>
        <w:pStyle w:val="head2"/>
        <w:spacing w:before="0" w:after="0"/>
        <w:ind w:left="360" w:hanging="342"/>
        <w:rPr>
          <w:rFonts w:asciiTheme="majorHAnsi" w:hAnsiTheme="majorHAnsi"/>
          <w:b w:val="0"/>
          <w:sz w:val="12"/>
        </w:rPr>
      </w:pPr>
    </w:p>
    <w:p w14:paraId="7FEA99C3" w14:textId="77777777" w:rsidR="00705436" w:rsidRDefault="00705436" w:rsidP="009C218C">
      <w:pPr>
        <w:pStyle w:val="head2"/>
        <w:spacing w:before="0" w:after="0"/>
        <w:ind w:left="360" w:hanging="342"/>
        <w:rPr>
          <w:rFonts w:asciiTheme="majorHAnsi" w:hAnsiTheme="majorHAnsi"/>
          <w:b w:val="0"/>
          <w:sz w:val="12"/>
        </w:rPr>
      </w:pPr>
    </w:p>
    <w:p w14:paraId="6619C187" w14:textId="77777777" w:rsidR="00705436" w:rsidRDefault="00705436" w:rsidP="009C218C">
      <w:pPr>
        <w:pStyle w:val="head2"/>
        <w:spacing w:before="0" w:after="0"/>
        <w:ind w:left="360" w:hanging="342"/>
        <w:rPr>
          <w:rFonts w:asciiTheme="majorHAnsi" w:hAnsiTheme="majorHAnsi"/>
          <w:b w:val="0"/>
          <w:sz w:val="12"/>
        </w:rPr>
      </w:pPr>
    </w:p>
    <w:p w14:paraId="05224345" w14:textId="77777777" w:rsidR="00705436" w:rsidRDefault="00705436" w:rsidP="009C218C">
      <w:pPr>
        <w:pStyle w:val="head2"/>
        <w:spacing w:before="0" w:after="0"/>
        <w:ind w:left="360" w:hanging="342"/>
        <w:rPr>
          <w:rFonts w:asciiTheme="majorHAnsi" w:hAnsiTheme="majorHAnsi"/>
          <w:b w:val="0"/>
          <w:sz w:val="12"/>
        </w:rPr>
      </w:pPr>
    </w:p>
    <w:p w14:paraId="0E7B5EC6" w14:textId="77777777" w:rsidR="00705436" w:rsidRDefault="00705436" w:rsidP="009C218C">
      <w:pPr>
        <w:pStyle w:val="head2"/>
        <w:spacing w:before="0" w:after="0"/>
        <w:ind w:left="360" w:hanging="342"/>
        <w:rPr>
          <w:rFonts w:asciiTheme="majorHAnsi" w:hAnsiTheme="majorHAnsi"/>
          <w:b w:val="0"/>
          <w:sz w:val="12"/>
        </w:rPr>
      </w:pPr>
    </w:p>
    <w:p w14:paraId="2DEF87F4" w14:textId="77777777" w:rsidR="00705436" w:rsidRDefault="00705436" w:rsidP="009C218C">
      <w:pPr>
        <w:pStyle w:val="head2"/>
        <w:spacing w:before="0" w:after="0"/>
        <w:ind w:left="360" w:hanging="342"/>
        <w:rPr>
          <w:rFonts w:asciiTheme="majorHAnsi" w:hAnsiTheme="majorHAnsi"/>
          <w:b w:val="0"/>
          <w:sz w:val="12"/>
        </w:rPr>
      </w:pPr>
    </w:p>
    <w:p w14:paraId="593F740E" w14:textId="77777777" w:rsidR="00705436" w:rsidRDefault="00705436" w:rsidP="009C218C">
      <w:pPr>
        <w:pStyle w:val="head2"/>
        <w:spacing w:before="0" w:after="0"/>
        <w:ind w:left="360" w:hanging="342"/>
        <w:rPr>
          <w:rFonts w:asciiTheme="majorHAnsi" w:hAnsiTheme="majorHAnsi"/>
          <w:b w:val="0"/>
          <w:sz w:val="12"/>
        </w:rPr>
      </w:pPr>
    </w:p>
    <w:p w14:paraId="725423CF" w14:textId="77777777" w:rsidR="00705436" w:rsidRDefault="00705436" w:rsidP="009C218C">
      <w:pPr>
        <w:pStyle w:val="head2"/>
        <w:spacing w:before="0" w:after="0"/>
        <w:ind w:left="360" w:hanging="342"/>
        <w:rPr>
          <w:rFonts w:asciiTheme="majorHAnsi" w:hAnsiTheme="majorHAnsi"/>
          <w:b w:val="0"/>
          <w:sz w:val="12"/>
        </w:rPr>
      </w:pPr>
    </w:p>
    <w:p w14:paraId="20EEBD87" w14:textId="77777777" w:rsidR="00705436" w:rsidRDefault="00705436" w:rsidP="009C218C">
      <w:pPr>
        <w:pStyle w:val="head2"/>
        <w:spacing w:before="0" w:after="0"/>
        <w:ind w:left="360" w:hanging="342"/>
        <w:rPr>
          <w:rFonts w:asciiTheme="majorHAnsi" w:hAnsiTheme="majorHAnsi"/>
          <w:b w:val="0"/>
          <w:sz w:val="12"/>
        </w:rPr>
      </w:pPr>
    </w:p>
    <w:p w14:paraId="1A825E01" w14:textId="77777777" w:rsidR="009C218C" w:rsidRDefault="009C218C" w:rsidP="009C218C">
      <w:pPr>
        <w:pStyle w:val="head2"/>
        <w:spacing w:before="0" w:after="0"/>
        <w:ind w:left="360" w:hanging="342"/>
        <w:rPr>
          <w:rFonts w:asciiTheme="majorHAnsi" w:hAnsiTheme="majorHAnsi"/>
          <w:b w:val="0"/>
          <w:sz w:val="12"/>
        </w:rPr>
      </w:pPr>
    </w:p>
    <w:p w14:paraId="165D0CF4" w14:textId="77777777" w:rsidR="009C218C" w:rsidRDefault="009C218C" w:rsidP="009C218C">
      <w:pPr>
        <w:pStyle w:val="head2"/>
        <w:spacing w:before="0" w:after="0"/>
        <w:ind w:left="360" w:hanging="342"/>
        <w:rPr>
          <w:rFonts w:asciiTheme="majorHAnsi" w:hAnsiTheme="majorHAnsi"/>
          <w:b w:val="0"/>
          <w:sz w:val="12"/>
        </w:rPr>
      </w:pPr>
    </w:p>
    <w:p w14:paraId="0AC6B626" w14:textId="77777777" w:rsidR="009C218C" w:rsidRDefault="009C218C" w:rsidP="009C218C">
      <w:pPr>
        <w:pStyle w:val="head2"/>
        <w:spacing w:before="0" w:after="0"/>
        <w:ind w:left="360" w:hanging="342"/>
        <w:rPr>
          <w:rFonts w:asciiTheme="majorHAnsi" w:hAnsiTheme="majorHAnsi"/>
          <w:b w:val="0"/>
          <w:sz w:val="12"/>
        </w:rPr>
      </w:pPr>
    </w:p>
    <w:p w14:paraId="64C193C3" w14:textId="77777777" w:rsidR="009C218C" w:rsidRDefault="009C218C" w:rsidP="00E01791">
      <w:pPr>
        <w:spacing w:after="0"/>
        <w:ind w:left="284"/>
        <w:jc w:val="both"/>
        <w:rPr>
          <w:rFonts w:ascii="Georgia" w:hAnsi="Georgia"/>
          <w:sz w:val="20"/>
          <w:szCs w:val="20"/>
        </w:rPr>
      </w:pPr>
      <w:bookmarkStart w:id="42" w:name="_Toc513046789"/>
      <w:bookmarkStart w:id="43" w:name="_Toc513047554"/>
      <w:bookmarkStart w:id="44" w:name="_Toc513141769"/>
    </w:p>
    <w:p w14:paraId="38F0E5BD" w14:textId="2FDAC6A7" w:rsidR="00E01791" w:rsidRPr="009C218C" w:rsidRDefault="00E01791" w:rsidP="00E01791">
      <w:pPr>
        <w:spacing w:after="0"/>
        <w:ind w:left="284"/>
        <w:jc w:val="both"/>
        <w:rPr>
          <w:rFonts w:ascii="Georgia" w:hAnsi="Georgia"/>
          <w:szCs w:val="20"/>
        </w:rPr>
      </w:pPr>
      <w:r w:rsidRPr="009C218C">
        <w:rPr>
          <w:rFonts w:ascii="Georgia" w:hAnsi="Georgia"/>
          <w:szCs w:val="20"/>
        </w:rPr>
        <w:lastRenderedPageBreak/>
        <w:t xml:space="preserve">The station-wise actual Generation approved for FY </w:t>
      </w:r>
      <w:r w:rsidR="009C218C" w:rsidRPr="009C218C">
        <w:rPr>
          <w:rFonts w:ascii="Georgia" w:hAnsi="Georgia"/>
          <w:szCs w:val="20"/>
        </w:rPr>
        <w:t>2020-21</w:t>
      </w:r>
      <w:r w:rsidRPr="009C218C">
        <w:rPr>
          <w:rFonts w:ascii="Georgia" w:hAnsi="Georgia"/>
          <w:szCs w:val="20"/>
        </w:rPr>
        <w:t xml:space="preserve"> and actual generation are provided in the table below:</w:t>
      </w:r>
    </w:p>
    <w:p w14:paraId="0CAA67B1" w14:textId="77777777" w:rsidR="00E01791" w:rsidRPr="007620D0" w:rsidRDefault="00E01791" w:rsidP="00E01791">
      <w:pPr>
        <w:spacing w:after="0"/>
        <w:ind w:left="284"/>
        <w:jc w:val="both"/>
        <w:rPr>
          <w:rFonts w:ascii="Georgia" w:hAnsi="Georgia"/>
          <w:sz w:val="10"/>
          <w:szCs w:val="20"/>
        </w:rPr>
      </w:pPr>
    </w:p>
    <w:p w14:paraId="0058B796" w14:textId="714E806B" w:rsidR="00E01791" w:rsidRPr="00017284" w:rsidRDefault="00E01791" w:rsidP="00E01791">
      <w:pPr>
        <w:pStyle w:val="Caption"/>
        <w:keepNext/>
        <w:spacing w:after="0"/>
        <w:ind w:left="284"/>
        <w:jc w:val="center"/>
        <w:rPr>
          <w:rFonts w:ascii="Georgia" w:hAnsi="Georgia"/>
          <w:b/>
          <w:i w:val="0"/>
          <w:color w:val="auto"/>
          <w:sz w:val="20"/>
          <w:szCs w:val="20"/>
        </w:rPr>
      </w:pPr>
      <w:r w:rsidRPr="00F95E0E">
        <w:rPr>
          <w:rFonts w:ascii="Georgia" w:hAnsi="Georgia"/>
          <w:b/>
          <w:i w:val="0"/>
          <w:color w:val="auto"/>
          <w:sz w:val="20"/>
          <w:szCs w:val="20"/>
        </w:rPr>
        <w:t>Actual Generation Source Wise</w:t>
      </w:r>
    </w:p>
    <w:tbl>
      <w:tblPr>
        <w:tblW w:w="5445" w:type="pct"/>
        <w:tblInd w:w="-176" w:type="dxa"/>
        <w:tblLayout w:type="fixed"/>
        <w:tblLook w:val="04A0" w:firstRow="1" w:lastRow="0" w:firstColumn="1" w:lastColumn="0" w:noHBand="0" w:noVBand="1"/>
      </w:tblPr>
      <w:tblGrid>
        <w:gridCol w:w="539"/>
        <w:gridCol w:w="1562"/>
        <w:gridCol w:w="982"/>
        <w:gridCol w:w="737"/>
        <w:gridCol w:w="737"/>
        <w:gridCol w:w="1045"/>
        <w:gridCol w:w="968"/>
        <w:gridCol w:w="928"/>
        <w:gridCol w:w="884"/>
        <w:gridCol w:w="819"/>
        <w:gridCol w:w="864"/>
      </w:tblGrid>
      <w:tr w:rsidR="009C218C" w:rsidRPr="007620D0" w14:paraId="3939F707" w14:textId="77777777" w:rsidTr="00705436">
        <w:trPr>
          <w:trHeight w:val="119"/>
          <w:tblHeader/>
        </w:trPr>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6687B781" w14:textId="77777777" w:rsidR="00E01791" w:rsidRPr="007620D0" w:rsidRDefault="00E01791" w:rsidP="00E01791">
            <w:pPr>
              <w:spacing w:after="0" w:line="240" w:lineRule="auto"/>
              <w:ind w:left="284"/>
              <w:rPr>
                <w:rFonts w:ascii="Georgia" w:eastAsia="Times New Roman" w:hAnsi="Georgia" w:cs="Calibri"/>
                <w:color w:val="000000"/>
                <w:sz w:val="18"/>
                <w:szCs w:val="18"/>
              </w:rPr>
            </w:pPr>
            <w:r w:rsidRPr="007620D0">
              <w:rPr>
                <w:rFonts w:ascii="Georgia" w:eastAsia="Times New Roman" w:hAnsi="Georgia" w:cs="Calibri"/>
                <w:color w:val="000000"/>
                <w:sz w:val="18"/>
                <w:szCs w:val="18"/>
              </w:rPr>
              <w:t> </w:t>
            </w:r>
          </w:p>
        </w:tc>
        <w:tc>
          <w:tcPr>
            <w:tcW w:w="3457" w:type="pct"/>
            <w:gridSpan w:val="7"/>
            <w:tcBorders>
              <w:top w:val="single" w:sz="4" w:space="0" w:color="auto"/>
              <w:left w:val="nil"/>
              <w:bottom w:val="single" w:sz="4" w:space="0" w:color="auto"/>
              <w:right w:val="single" w:sz="4" w:space="0" w:color="auto"/>
            </w:tcBorders>
            <w:shd w:val="clear" w:color="auto" w:fill="BFBFBF" w:themeFill="background1" w:themeFillShade="BF"/>
            <w:noWrap/>
            <w:hideMark/>
          </w:tcPr>
          <w:p w14:paraId="7F97AAAD" w14:textId="01EE4FEB" w:rsidR="00E01791" w:rsidRPr="007620D0" w:rsidRDefault="00E01791" w:rsidP="009C218C">
            <w:pPr>
              <w:spacing w:after="0" w:line="240" w:lineRule="auto"/>
              <w:ind w:left="284"/>
              <w:jc w:val="center"/>
              <w:rPr>
                <w:rFonts w:ascii="Georgia" w:eastAsia="Times New Roman" w:hAnsi="Georgia" w:cs="Calibri"/>
                <w:b/>
                <w:color w:val="000000"/>
                <w:sz w:val="18"/>
                <w:szCs w:val="18"/>
              </w:rPr>
            </w:pPr>
            <w:r w:rsidRPr="007620D0">
              <w:rPr>
                <w:rFonts w:ascii="Georgia" w:eastAsia="Times New Roman" w:hAnsi="Georgia" w:cs="Calibri"/>
                <w:b/>
                <w:color w:val="000000"/>
                <w:sz w:val="18"/>
                <w:szCs w:val="18"/>
              </w:rPr>
              <w:t xml:space="preserve">Approved by the Hon’ble Commission in Multi Year Tariff Order for FY </w:t>
            </w:r>
            <w:r w:rsidR="009C218C">
              <w:rPr>
                <w:rFonts w:ascii="Georgia" w:eastAsia="Times New Roman" w:hAnsi="Georgia" w:cs="Calibri"/>
                <w:b/>
                <w:color w:val="000000"/>
                <w:sz w:val="18"/>
                <w:szCs w:val="18"/>
              </w:rPr>
              <w:t>2020-21</w:t>
            </w:r>
          </w:p>
        </w:tc>
        <w:tc>
          <w:tcPr>
            <w:tcW w:w="1275" w:type="pct"/>
            <w:gridSpan w:val="3"/>
            <w:tcBorders>
              <w:top w:val="single" w:sz="4" w:space="0" w:color="auto"/>
              <w:left w:val="nil"/>
              <w:bottom w:val="single" w:sz="4" w:space="0" w:color="auto"/>
              <w:right w:val="single" w:sz="4" w:space="0" w:color="auto"/>
            </w:tcBorders>
            <w:shd w:val="clear" w:color="auto" w:fill="BFBFBF" w:themeFill="background1" w:themeFillShade="BF"/>
            <w:noWrap/>
            <w:hideMark/>
          </w:tcPr>
          <w:p w14:paraId="787B9CC4" w14:textId="7D110764" w:rsidR="00E01791" w:rsidRPr="007620D0" w:rsidRDefault="00E01791" w:rsidP="009C218C">
            <w:pPr>
              <w:spacing w:after="0" w:line="240" w:lineRule="auto"/>
              <w:ind w:left="34"/>
              <w:jc w:val="center"/>
              <w:rPr>
                <w:rFonts w:ascii="Georgia" w:eastAsia="Times New Roman" w:hAnsi="Georgia" w:cs="Calibri"/>
                <w:b/>
                <w:color w:val="000000"/>
                <w:sz w:val="18"/>
                <w:szCs w:val="18"/>
              </w:rPr>
            </w:pPr>
            <w:r w:rsidRPr="007620D0">
              <w:rPr>
                <w:rFonts w:ascii="Georgia" w:eastAsia="Times New Roman" w:hAnsi="Georgia" w:cs="Calibri"/>
                <w:b/>
                <w:color w:val="000000"/>
                <w:sz w:val="18"/>
                <w:szCs w:val="18"/>
              </w:rPr>
              <w:t xml:space="preserve">Actual generation for FY </w:t>
            </w:r>
            <w:r w:rsidR="009C218C">
              <w:rPr>
                <w:rFonts w:ascii="Georgia" w:eastAsia="Times New Roman" w:hAnsi="Georgia" w:cs="Calibri"/>
                <w:b/>
                <w:color w:val="000000"/>
                <w:sz w:val="18"/>
                <w:szCs w:val="18"/>
              </w:rPr>
              <w:t>2020-21</w:t>
            </w:r>
          </w:p>
        </w:tc>
      </w:tr>
      <w:tr w:rsidR="00705436" w:rsidRPr="007620D0" w14:paraId="5742FEB1" w14:textId="77777777" w:rsidTr="00705436">
        <w:trPr>
          <w:trHeight w:val="614"/>
          <w:tblHeader/>
        </w:trPr>
        <w:tc>
          <w:tcPr>
            <w:tcW w:w="268" w:type="pct"/>
            <w:tcBorders>
              <w:top w:val="nil"/>
              <w:left w:val="single" w:sz="4" w:space="0" w:color="auto"/>
              <w:bottom w:val="single" w:sz="4" w:space="0" w:color="auto"/>
              <w:right w:val="single" w:sz="4" w:space="0" w:color="auto"/>
            </w:tcBorders>
            <w:shd w:val="clear" w:color="000000" w:fill="BFBFBF"/>
            <w:vAlign w:val="center"/>
            <w:hideMark/>
          </w:tcPr>
          <w:p w14:paraId="7FC689B3" w14:textId="77777777" w:rsidR="00E01791" w:rsidRPr="007620D0" w:rsidRDefault="00E01791" w:rsidP="00E01791">
            <w:pPr>
              <w:spacing w:after="0" w:line="240" w:lineRule="auto"/>
              <w:jc w:val="center"/>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Sl. No</w:t>
            </w:r>
          </w:p>
        </w:tc>
        <w:tc>
          <w:tcPr>
            <w:tcW w:w="776" w:type="pct"/>
            <w:tcBorders>
              <w:top w:val="nil"/>
              <w:left w:val="nil"/>
              <w:bottom w:val="single" w:sz="4" w:space="0" w:color="auto"/>
              <w:right w:val="single" w:sz="4" w:space="0" w:color="auto"/>
            </w:tcBorders>
            <w:shd w:val="clear" w:color="000000" w:fill="BFBFBF"/>
            <w:vAlign w:val="center"/>
            <w:hideMark/>
          </w:tcPr>
          <w:p w14:paraId="7E9DA723"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 xml:space="preserve">Name of the Power Station </w:t>
            </w:r>
          </w:p>
        </w:tc>
        <w:tc>
          <w:tcPr>
            <w:tcW w:w="488" w:type="pct"/>
            <w:tcBorders>
              <w:top w:val="nil"/>
              <w:left w:val="nil"/>
              <w:bottom w:val="single" w:sz="4" w:space="0" w:color="auto"/>
              <w:right w:val="single" w:sz="4" w:space="0" w:color="auto"/>
            </w:tcBorders>
            <w:shd w:val="clear" w:color="000000" w:fill="BFBFBF"/>
            <w:vAlign w:val="center"/>
            <w:hideMark/>
          </w:tcPr>
          <w:p w14:paraId="0121E786"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 xml:space="preserve">Gross Generation </w:t>
            </w:r>
          </w:p>
          <w:p w14:paraId="0CBBB242"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(MU)</w:t>
            </w:r>
          </w:p>
        </w:tc>
        <w:tc>
          <w:tcPr>
            <w:tcW w:w="366" w:type="pct"/>
            <w:tcBorders>
              <w:top w:val="nil"/>
              <w:left w:val="nil"/>
              <w:bottom w:val="single" w:sz="4" w:space="0" w:color="auto"/>
              <w:right w:val="single" w:sz="4" w:space="0" w:color="auto"/>
            </w:tcBorders>
            <w:shd w:val="clear" w:color="000000" w:fill="BFBFBF"/>
            <w:vAlign w:val="center"/>
            <w:hideMark/>
          </w:tcPr>
          <w:p w14:paraId="17B258C2"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 xml:space="preserve">Aux Cons </w:t>
            </w:r>
          </w:p>
          <w:p w14:paraId="3003D418"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w:t>
            </w:r>
          </w:p>
        </w:tc>
        <w:tc>
          <w:tcPr>
            <w:tcW w:w="366" w:type="pct"/>
            <w:tcBorders>
              <w:top w:val="nil"/>
              <w:left w:val="nil"/>
              <w:bottom w:val="single" w:sz="4" w:space="0" w:color="auto"/>
              <w:right w:val="single" w:sz="4" w:space="0" w:color="auto"/>
            </w:tcBorders>
            <w:shd w:val="clear" w:color="000000" w:fill="BFBFBF"/>
            <w:vAlign w:val="center"/>
            <w:hideMark/>
          </w:tcPr>
          <w:p w14:paraId="1DEC7519"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 xml:space="preserve">Transformation Loss </w:t>
            </w:r>
          </w:p>
          <w:p w14:paraId="13551025"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w:t>
            </w:r>
          </w:p>
        </w:tc>
        <w:tc>
          <w:tcPr>
            <w:tcW w:w="519" w:type="pct"/>
            <w:tcBorders>
              <w:top w:val="nil"/>
              <w:left w:val="nil"/>
              <w:bottom w:val="single" w:sz="4" w:space="0" w:color="auto"/>
              <w:right w:val="single" w:sz="4" w:space="0" w:color="auto"/>
            </w:tcBorders>
            <w:shd w:val="clear" w:color="000000" w:fill="BFBFBF"/>
            <w:vAlign w:val="center"/>
            <w:hideMark/>
          </w:tcPr>
          <w:p w14:paraId="41592549"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Total Loss</w:t>
            </w:r>
          </w:p>
          <w:p w14:paraId="13F82871"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 xml:space="preserve"> (Aux + Transformation) (%)</w:t>
            </w:r>
          </w:p>
        </w:tc>
        <w:tc>
          <w:tcPr>
            <w:tcW w:w="481" w:type="pct"/>
            <w:tcBorders>
              <w:top w:val="nil"/>
              <w:left w:val="nil"/>
              <w:bottom w:val="single" w:sz="4" w:space="0" w:color="auto"/>
              <w:right w:val="single" w:sz="4" w:space="0" w:color="auto"/>
            </w:tcBorders>
            <w:shd w:val="clear" w:color="000000" w:fill="BFBFBF"/>
            <w:vAlign w:val="center"/>
            <w:hideMark/>
          </w:tcPr>
          <w:p w14:paraId="32343ACA"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 xml:space="preserve">Aux Cons &amp; Transformation Loss </w:t>
            </w:r>
          </w:p>
          <w:p w14:paraId="18C012A7"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(MU)</w:t>
            </w:r>
          </w:p>
        </w:tc>
        <w:tc>
          <w:tcPr>
            <w:tcW w:w="461" w:type="pct"/>
            <w:tcBorders>
              <w:top w:val="nil"/>
              <w:left w:val="nil"/>
              <w:bottom w:val="single" w:sz="4" w:space="0" w:color="auto"/>
              <w:right w:val="single" w:sz="4" w:space="0" w:color="auto"/>
            </w:tcBorders>
            <w:shd w:val="clear" w:color="000000" w:fill="BFBFBF"/>
            <w:vAlign w:val="center"/>
            <w:hideMark/>
          </w:tcPr>
          <w:p w14:paraId="1B985E25"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 xml:space="preserve">Net Generation </w:t>
            </w:r>
          </w:p>
          <w:p w14:paraId="3F60843D"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(MU)</w:t>
            </w:r>
          </w:p>
        </w:tc>
        <w:tc>
          <w:tcPr>
            <w:tcW w:w="439" w:type="pct"/>
            <w:tcBorders>
              <w:top w:val="nil"/>
              <w:left w:val="nil"/>
              <w:bottom w:val="single" w:sz="4" w:space="0" w:color="auto"/>
              <w:right w:val="single" w:sz="4" w:space="0" w:color="auto"/>
            </w:tcBorders>
            <w:shd w:val="clear" w:color="000000" w:fill="BFBFBF"/>
            <w:vAlign w:val="center"/>
            <w:hideMark/>
          </w:tcPr>
          <w:p w14:paraId="74BDE6FB"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 xml:space="preserve">Gross Generation </w:t>
            </w:r>
          </w:p>
          <w:p w14:paraId="34532EAF"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(MU)</w:t>
            </w:r>
          </w:p>
        </w:tc>
        <w:tc>
          <w:tcPr>
            <w:tcW w:w="407" w:type="pct"/>
            <w:tcBorders>
              <w:top w:val="nil"/>
              <w:left w:val="nil"/>
              <w:bottom w:val="single" w:sz="4" w:space="0" w:color="auto"/>
              <w:right w:val="single" w:sz="4" w:space="0" w:color="auto"/>
            </w:tcBorders>
            <w:shd w:val="clear" w:color="000000" w:fill="BFBFBF"/>
            <w:vAlign w:val="center"/>
            <w:hideMark/>
          </w:tcPr>
          <w:p w14:paraId="7632C105"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 xml:space="preserve">Aux Cons &amp; Transformation Loss </w:t>
            </w:r>
          </w:p>
          <w:p w14:paraId="1423C7AB"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(MU)</w:t>
            </w:r>
          </w:p>
        </w:tc>
        <w:tc>
          <w:tcPr>
            <w:tcW w:w="430" w:type="pct"/>
            <w:tcBorders>
              <w:top w:val="nil"/>
              <w:left w:val="nil"/>
              <w:bottom w:val="single" w:sz="4" w:space="0" w:color="auto"/>
              <w:right w:val="single" w:sz="4" w:space="0" w:color="auto"/>
            </w:tcBorders>
            <w:shd w:val="clear" w:color="000000" w:fill="BFBFBF"/>
            <w:vAlign w:val="center"/>
            <w:hideMark/>
          </w:tcPr>
          <w:p w14:paraId="3BAF9F7F"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 xml:space="preserve">Net Generation </w:t>
            </w:r>
          </w:p>
          <w:p w14:paraId="5B86A3B3" w14:textId="77777777" w:rsidR="00E01791" w:rsidRPr="007620D0" w:rsidRDefault="00E01791"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(MU)</w:t>
            </w:r>
          </w:p>
        </w:tc>
      </w:tr>
      <w:tr w:rsidR="009C218C" w:rsidRPr="007620D0" w14:paraId="2C37D7EF" w14:textId="77777777" w:rsidTr="00705436">
        <w:trPr>
          <w:trHeight w:val="230"/>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40319F06"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1</w:t>
            </w:r>
          </w:p>
        </w:tc>
        <w:tc>
          <w:tcPr>
            <w:tcW w:w="776" w:type="pct"/>
            <w:tcBorders>
              <w:top w:val="nil"/>
              <w:left w:val="nil"/>
              <w:bottom w:val="single" w:sz="4" w:space="0" w:color="auto"/>
              <w:right w:val="single" w:sz="4" w:space="0" w:color="auto"/>
            </w:tcBorders>
            <w:shd w:val="clear" w:color="auto" w:fill="auto"/>
            <w:noWrap/>
            <w:vAlign w:val="center"/>
            <w:hideMark/>
          </w:tcPr>
          <w:p w14:paraId="4AAE7109"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Umiam Stage- I</w:t>
            </w:r>
          </w:p>
        </w:tc>
        <w:tc>
          <w:tcPr>
            <w:tcW w:w="488" w:type="pct"/>
            <w:tcBorders>
              <w:top w:val="nil"/>
              <w:left w:val="nil"/>
              <w:bottom w:val="single" w:sz="4" w:space="0" w:color="auto"/>
              <w:right w:val="single" w:sz="4" w:space="0" w:color="auto"/>
            </w:tcBorders>
            <w:shd w:val="clear" w:color="auto" w:fill="auto"/>
            <w:noWrap/>
            <w:hideMark/>
          </w:tcPr>
          <w:p w14:paraId="21334787"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116</w:t>
            </w:r>
          </w:p>
        </w:tc>
        <w:tc>
          <w:tcPr>
            <w:tcW w:w="366" w:type="pct"/>
            <w:tcBorders>
              <w:top w:val="nil"/>
              <w:left w:val="nil"/>
              <w:bottom w:val="single" w:sz="4" w:space="0" w:color="auto"/>
              <w:right w:val="single" w:sz="4" w:space="0" w:color="auto"/>
            </w:tcBorders>
            <w:shd w:val="clear" w:color="auto" w:fill="auto"/>
            <w:noWrap/>
            <w:hideMark/>
          </w:tcPr>
          <w:p w14:paraId="474BD70A"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0.7%</w:t>
            </w:r>
          </w:p>
        </w:tc>
        <w:tc>
          <w:tcPr>
            <w:tcW w:w="366" w:type="pct"/>
            <w:tcBorders>
              <w:top w:val="nil"/>
              <w:left w:val="nil"/>
              <w:bottom w:val="single" w:sz="4" w:space="0" w:color="auto"/>
              <w:right w:val="single" w:sz="4" w:space="0" w:color="auto"/>
            </w:tcBorders>
            <w:shd w:val="clear" w:color="auto" w:fill="auto"/>
            <w:noWrap/>
            <w:hideMark/>
          </w:tcPr>
          <w:p w14:paraId="43858209"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0.5%</w:t>
            </w:r>
          </w:p>
        </w:tc>
        <w:tc>
          <w:tcPr>
            <w:tcW w:w="519" w:type="pct"/>
            <w:tcBorders>
              <w:top w:val="nil"/>
              <w:left w:val="nil"/>
              <w:bottom w:val="single" w:sz="4" w:space="0" w:color="auto"/>
              <w:right w:val="single" w:sz="4" w:space="0" w:color="auto"/>
            </w:tcBorders>
            <w:shd w:val="clear" w:color="auto" w:fill="auto"/>
            <w:noWrap/>
            <w:hideMark/>
          </w:tcPr>
          <w:p w14:paraId="73DA6038"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1.2%</w:t>
            </w:r>
          </w:p>
        </w:tc>
        <w:tc>
          <w:tcPr>
            <w:tcW w:w="481" w:type="pct"/>
            <w:tcBorders>
              <w:top w:val="nil"/>
              <w:left w:val="nil"/>
              <w:bottom w:val="single" w:sz="4" w:space="0" w:color="auto"/>
              <w:right w:val="single" w:sz="4" w:space="0" w:color="auto"/>
            </w:tcBorders>
            <w:shd w:val="clear" w:color="auto" w:fill="auto"/>
            <w:noWrap/>
            <w:hideMark/>
          </w:tcPr>
          <w:p w14:paraId="1BAA3317"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1.39</w:t>
            </w:r>
          </w:p>
        </w:tc>
        <w:tc>
          <w:tcPr>
            <w:tcW w:w="461" w:type="pct"/>
            <w:tcBorders>
              <w:top w:val="nil"/>
              <w:left w:val="nil"/>
              <w:bottom w:val="single" w:sz="4" w:space="0" w:color="auto"/>
              <w:right w:val="single" w:sz="4" w:space="0" w:color="auto"/>
            </w:tcBorders>
            <w:shd w:val="clear" w:color="auto" w:fill="auto"/>
            <w:noWrap/>
            <w:hideMark/>
          </w:tcPr>
          <w:p w14:paraId="6B76BED0"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114.61</w:t>
            </w:r>
          </w:p>
        </w:tc>
        <w:tc>
          <w:tcPr>
            <w:tcW w:w="439" w:type="pct"/>
            <w:tcBorders>
              <w:top w:val="nil"/>
              <w:left w:val="nil"/>
              <w:bottom w:val="single" w:sz="4" w:space="0" w:color="auto"/>
              <w:right w:val="single" w:sz="4" w:space="0" w:color="auto"/>
            </w:tcBorders>
            <w:shd w:val="clear" w:color="auto" w:fill="auto"/>
            <w:noWrap/>
          </w:tcPr>
          <w:p w14:paraId="45831A03" w14:textId="7D2FACDD"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149.49</w:t>
            </w:r>
          </w:p>
        </w:tc>
        <w:tc>
          <w:tcPr>
            <w:tcW w:w="407" w:type="pct"/>
            <w:tcBorders>
              <w:top w:val="nil"/>
              <w:left w:val="nil"/>
              <w:bottom w:val="single" w:sz="4" w:space="0" w:color="auto"/>
              <w:right w:val="single" w:sz="4" w:space="0" w:color="auto"/>
            </w:tcBorders>
            <w:shd w:val="clear" w:color="auto" w:fill="auto"/>
            <w:noWrap/>
          </w:tcPr>
          <w:p w14:paraId="5189C705" w14:textId="29078296"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0.96</w:t>
            </w:r>
          </w:p>
        </w:tc>
        <w:tc>
          <w:tcPr>
            <w:tcW w:w="430" w:type="pct"/>
            <w:tcBorders>
              <w:top w:val="nil"/>
              <w:left w:val="nil"/>
              <w:bottom w:val="single" w:sz="4" w:space="0" w:color="auto"/>
              <w:right w:val="single" w:sz="4" w:space="0" w:color="auto"/>
            </w:tcBorders>
            <w:shd w:val="clear" w:color="auto" w:fill="auto"/>
            <w:noWrap/>
          </w:tcPr>
          <w:p w14:paraId="2DA4F42B" w14:textId="20298857" w:rsidR="009C218C" w:rsidRPr="009C218C" w:rsidRDefault="009C218C" w:rsidP="00705436">
            <w:pPr>
              <w:ind w:left="-51"/>
              <w:rPr>
                <w:rFonts w:ascii="Georgia" w:hAnsi="Georgia"/>
                <w:color w:val="000000"/>
                <w:sz w:val="20"/>
                <w:szCs w:val="18"/>
              </w:rPr>
            </w:pPr>
            <w:r w:rsidRPr="009C218C">
              <w:rPr>
                <w:rFonts w:ascii="Georgia" w:hAnsi="Georgia"/>
                <w:color w:val="000000"/>
                <w:sz w:val="20"/>
              </w:rPr>
              <w:t>148.53</w:t>
            </w:r>
          </w:p>
        </w:tc>
      </w:tr>
      <w:tr w:rsidR="009C218C" w:rsidRPr="007620D0" w14:paraId="66FCEF78" w14:textId="77777777" w:rsidTr="00705436">
        <w:trPr>
          <w:trHeight w:val="230"/>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7563BC25"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2</w:t>
            </w:r>
          </w:p>
        </w:tc>
        <w:tc>
          <w:tcPr>
            <w:tcW w:w="776" w:type="pct"/>
            <w:tcBorders>
              <w:top w:val="nil"/>
              <w:left w:val="nil"/>
              <w:bottom w:val="single" w:sz="4" w:space="0" w:color="auto"/>
              <w:right w:val="single" w:sz="4" w:space="0" w:color="auto"/>
            </w:tcBorders>
            <w:shd w:val="clear" w:color="auto" w:fill="auto"/>
            <w:noWrap/>
            <w:vAlign w:val="center"/>
            <w:hideMark/>
          </w:tcPr>
          <w:p w14:paraId="0E35CCDB"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Umiam Stage- II</w:t>
            </w:r>
          </w:p>
        </w:tc>
        <w:tc>
          <w:tcPr>
            <w:tcW w:w="488" w:type="pct"/>
            <w:tcBorders>
              <w:top w:val="nil"/>
              <w:left w:val="nil"/>
              <w:bottom w:val="single" w:sz="4" w:space="0" w:color="auto"/>
              <w:right w:val="single" w:sz="4" w:space="0" w:color="auto"/>
            </w:tcBorders>
            <w:shd w:val="clear" w:color="auto" w:fill="auto"/>
            <w:noWrap/>
            <w:hideMark/>
          </w:tcPr>
          <w:p w14:paraId="4100B950"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46</w:t>
            </w:r>
          </w:p>
        </w:tc>
        <w:tc>
          <w:tcPr>
            <w:tcW w:w="366" w:type="pct"/>
            <w:tcBorders>
              <w:top w:val="nil"/>
              <w:left w:val="nil"/>
              <w:bottom w:val="single" w:sz="4" w:space="0" w:color="auto"/>
              <w:right w:val="single" w:sz="4" w:space="0" w:color="auto"/>
            </w:tcBorders>
            <w:shd w:val="clear" w:color="auto" w:fill="auto"/>
            <w:noWrap/>
            <w:hideMark/>
          </w:tcPr>
          <w:p w14:paraId="53D1FE0A"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0.7%</w:t>
            </w:r>
          </w:p>
        </w:tc>
        <w:tc>
          <w:tcPr>
            <w:tcW w:w="366" w:type="pct"/>
            <w:tcBorders>
              <w:top w:val="nil"/>
              <w:left w:val="nil"/>
              <w:bottom w:val="single" w:sz="4" w:space="0" w:color="auto"/>
              <w:right w:val="single" w:sz="4" w:space="0" w:color="auto"/>
            </w:tcBorders>
            <w:shd w:val="clear" w:color="auto" w:fill="auto"/>
            <w:noWrap/>
            <w:hideMark/>
          </w:tcPr>
          <w:p w14:paraId="3A0BA684"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0.5%</w:t>
            </w:r>
          </w:p>
        </w:tc>
        <w:tc>
          <w:tcPr>
            <w:tcW w:w="519" w:type="pct"/>
            <w:tcBorders>
              <w:top w:val="nil"/>
              <w:left w:val="nil"/>
              <w:bottom w:val="single" w:sz="4" w:space="0" w:color="auto"/>
              <w:right w:val="single" w:sz="4" w:space="0" w:color="auto"/>
            </w:tcBorders>
            <w:shd w:val="clear" w:color="auto" w:fill="auto"/>
            <w:noWrap/>
            <w:hideMark/>
          </w:tcPr>
          <w:p w14:paraId="6BFFEA78"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1.2%</w:t>
            </w:r>
          </w:p>
        </w:tc>
        <w:tc>
          <w:tcPr>
            <w:tcW w:w="481" w:type="pct"/>
            <w:tcBorders>
              <w:top w:val="nil"/>
              <w:left w:val="nil"/>
              <w:bottom w:val="single" w:sz="4" w:space="0" w:color="auto"/>
              <w:right w:val="single" w:sz="4" w:space="0" w:color="auto"/>
            </w:tcBorders>
            <w:shd w:val="clear" w:color="auto" w:fill="auto"/>
            <w:noWrap/>
            <w:hideMark/>
          </w:tcPr>
          <w:p w14:paraId="53D2F999"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0.55</w:t>
            </w:r>
          </w:p>
        </w:tc>
        <w:tc>
          <w:tcPr>
            <w:tcW w:w="461" w:type="pct"/>
            <w:tcBorders>
              <w:top w:val="nil"/>
              <w:left w:val="nil"/>
              <w:bottom w:val="single" w:sz="4" w:space="0" w:color="auto"/>
              <w:right w:val="single" w:sz="4" w:space="0" w:color="auto"/>
            </w:tcBorders>
            <w:shd w:val="clear" w:color="auto" w:fill="auto"/>
            <w:noWrap/>
            <w:hideMark/>
          </w:tcPr>
          <w:p w14:paraId="5FBE5419"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45.45</w:t>
            </w:r>
          </w:p>
        </w:tc>
        <w:tc>
          <w:tcPr>
            <w:tcW w:w="439" w:type="pct"/>
            <w:tcBorders>
              <w:top w:val="nil"/>
              <w:left w:val="nil"/>
              <w:bottom w:val="single" w:sz="4" w:space="0" w:color="auto"/>
              <w:right w:val="single" w:sz="4" w:space="0" w:color="auto"/>
            </w:tcBorders>
            <w:shd w:val="clear" w:color="auto" w:fill="auto"/>
            <w:noWrap/>
          </w:tcPr>
          <w:p w14:paraId="23AD240B" w14:textId="74602EE5"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76.09</w:t>
            </w:r>
          </w:p>
        </w:tc>
        <w:tc>
          <w:tcPr>
            <w:tcW w:w="407" w:type="pct"/>
            <w:tcBorders>
              <w:top w:val="nil"/>
              <w:left w:val="nil"/>
              <w:bottom w:val="single" w:sz="4" w:space="0" w:color="auto"/>
              <w:right w:val="single" w:sz="4" w:space="0" w:color="auto"/>
            </w:tcBorders>
            <w:shd w:val="clear" w:color="auto" w:fill="auto"/>
            <w:noWrap/>
          </w:tcPr>
          <w:p w14:paraId="444C6F1F" w14:textId="28F3F75C"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0.41</w:t>
            </w:r>
          </w:p>
        </w:tc>
        <w:tc>
          <w:tcPr>
            <w:tcW w:w="430" w:type="pct"/>
            <w:tcBorders>
              <w:top w:val="nil"/>
              <w:left w:val="nil"/>
              <w:bottom w:val="single" w:sz="4" w:space="0" w:color="auto"/>
              <w:right w:val="single" w:sz="4" w:space="0" w:color="auto"/>
            </w:tcBorders>
            <w:shd w:val="clear" w:color="auto" w:fill="auto"/>
            <w:noWrap/>
          </w:tcPr>
          <w:p w14:paraId="434FC9C9" w14:textId="32655B1D" w:rsidR="009C218C" w:rsidRPr="009C218C" w:rsidRDefault="009C218C" w:rsidP="00705436">
            <w:pPr>
              <w:ind w:left="-51"/>
              <w:rPr>
                <w:rFonts w:ascii="Georgia" w:hAnsi="Georgia"/>
                <w:color w:val="000000"/>
                <w:sz w:val="20"/>
                <w:szCs w:val="18"/>
              </w:rPr>
            </w:pPr>
            <w:r w:rsidRPr="009C218C">
              <w:rPr>
                <w:rFonts w:ascii="Georgia" w:hAnsi="Georgia"/>
                <w:color w:val="000000"/>
                <w:sz w:val="20"/>
              </w:rPr>
              <w:t>75.68</w:t>
            </w:r>
          </w:p>
        </w:tc>
      </w:tr>
      <w:tr w:rsidR="009C218C" w:rsidRPr="007620D0" w14:paraId="13B18F90" w14:textId="77777777" w:rsidTr="00705436">
        <w:trPr>
          <w:trHeight w:val="230"/>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107BCB6D"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3</w:t>
            </w:r>
          </w:p>
        </w:tc>
        <w:tc>
          <w:tcPr>
            <w:tcW w:w="776" w:type="pct"/>
            <w:tcBorders>
              <w:top w:val="nil"/>
              <w:left w:val="nil"/>
              <w:bottom w:val="single" w:sz="4" w:space="0" w:color="auto"/>
              <w:right w:val="single" w:sz="4" w:space="0" w:color="auto"/>
            </w:tcBorders>
            <w:shd w:val="clear" w:color="auto" w:fill="auto"/>
            <w:noWrap/>
            <w:vAlign w:val="center"/>
            <w:hideMark/>
          </w:tcPr>
          <w:p w14:paraId="7837DF99"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Umiam –Umtru Stage-III</w:t>
            </w:r>
          </w:p>
        </w:tc>
        <w:tc>
          <w:tcPr>
            <w:tcW w:w="488" w:type="pct"/>
            <w:tcBorders>
              <w:top w:val="nil"/>
              <w:left w:val="nil"/>
              <w:bottom w:val="single" w:sz="4" w:space="0" w:color="auto"/>
              <w:right w:val="single" w:sz="4" w:space="0" w:color="auto"/>
            </w:tcBorders>
            <w:shd w:val="clear" w:color="auto" w:fill="auto"/>
            <w:noWrap/>
            <w:hideMark/>
          </w:tcPr>
          <w:p w14:paraId="1289E9F8"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139</w:t>
            </w:r>
          </w:p>
        </w:tc>
        <w:tc>
          <w:tcPr>
            <w:tcW w:w="366" w:type="pct"/>
            <w:tcBorders>
              <w:top w:val="nil"/>
              <w:left w:val="nil"/>
              <w:bottom w:val="single" w:sz="4" w:space="0" w:color="auto"/>
              <w:right w:val="single" w:sz="4" w:space="0" w:color="auto"/>
            </w:tcBorders>
            <w:shd w:val="clear" w:color="auto" w:fill="auto"/>
            <w:noWrap/>
            <w:hideMark/>
          </w:tcPr>
          <w:p w14:paraId="4FE18C76"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0.7%</w:t>
            </w:r>
          </w:p>
        </w:tc>
        <w:tc>
          <w:tcPr>
            <w:tcW w:w="366" w:type="pct"/>
            <w:tcBorders>
              <w:top w:val="nil"/>
              <w:left w:val="nil"/>
              <w:bottom w:val="single" w:sz="4" w:space="0" w:color="auto"/>
              <w:right w:val="single" w:sz="4" w:space="0" w:color="auto"/>
            </w:tcBorders>
            <w:shd w:val="clear" w:color="auto" w:fill="auto"/>
            <w:noWrap/>
            <w:hideMark/>
          </w:tcPr>
          <w:p w14:paraId="1AD65BA4"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0.5%</w:t>
            </w:r>
          </w:p>
        </w:tc>
        <w:tc>
          <w:tcPr>
            <w:tcW w:w="519" w:type="pct"/>
            <w:tcBorders>
              <w:top w:val="nil"/>
              <w:left w:val="nil"/>
              <w:bottom w:val="single" w:sz="4" w:space="0" w:color="auto"/>
              <w:right w:val="single" w:sz="4" w:space="0" w:color="auto"/>
            </w:tcBorders>
            <w:shd w:val="clear" w:color="auto" w:fill="auto"/>
            <w:noWrap/>
            <w:hideMark/>
          </w:tcPr>
          <w:p w14:paraId="2C867513"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1.2%</w:t>
            </w:r>
          </w:p>
        </w:tc>
        <w:tc>
          <w:tcPr>
            <w:tcW w:w="481" w:type="pct"/>
            <w:tcBorders>
              <w:top w:val="nil"/>
              <w:left w:val="nil"/>
              <w:bottom w:val="single" w:sz="4" w:space="0" w:color="auto"/>
              <w:right w:val="single" w:sz="4" w:space="0" w:color="auto"/>
            </w:tcBorders>
            <w:shd w:val="clear" w:color="auto" w:fill="auto"/>
            <w:noWrap/>
            <w:hideMark/>
          </w:tcPr>
          <w:p w14:paraId="3D463338"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1.67</w:t>
            </w:r>
          </w:p>
        </w:tc>
        <w:tc>
          <w:tcPr>
            <w:tcW w:w="461" w:type="pct"/>
            <w:tcBorders>
              <w:top w:val="nil"/>
              <w:left w:val="nil"/>
              <w:bottom w:val="single" w:sz="4" w:space="0" w:color="auto"/>
              <w:right w:val="single" w:sz="4" w:space="0" w:color="auto"/>
            </w:tcBorders>
            <w:shd w:val="clear" w:color="auto" w:fill="auto"/>
            <w:noWrap/>
            <w:hideMark/>
          </w:tcPr>
          <w:p w14:paraId="4927B29A"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137.33</w:t>
            </w:r>
          </w:p>
        </w:tc>
        <w:tc>
          <w:tcPr>
            <w:tcW w:w="439" w:type="pct"/>
            <w:tcBorders>
              <w:top w:val="nil"/>
              <w:left w:val="nil"/>
              <w:bottom w:val="single" w:sz="4" w:space="0" w:color="auto"/>
              <w:right w:val="single" w:sz="4" w:space="0" w:color="auto"/>
            </w:tcBorders>
            <w:shd w:val="clear" w:color="auto" w:fill="auto"/>
            <w:noWrap/>
          </w:tcPr>
          <w:p w14:paraId="12FB8DD2" w14:textId="75654771"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163.71</w:t>
            </w:r>
          </w:p>
        </w:tc>
        <w:tc>
          <w:tcPr>
            <w:tcW w:w="407" w:type="pct"/>
            <w:tcBorders>
              <w:top w:val="nil"/>
              <w:left w:val="nil"/>
              <w:bottom w:val="single" w:sz="4" w:space="0" w:color="auto"/>
              <w:right w:val="single" w:sz="4" w:space="0" w:color="auto"/>
            </w:tcBorders>
            <w:shd w:val="clear" w:color="auto" w:fill="auto"/>
            <w:noWrap/>
          </w:tcPr>
          <w:p w14:paraId="577C7CE4" w14:textId="4972A712"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0.92</w:t>
            </w:r>
          </w:p>
        </w:tc>
        <w:tc>
          <w:tcPr>
            <w:tcW w:w="430" w:type="pct"/>
            <w:tcBorders>
              <w:top w:val="nil"/>
              <w:left w:val="nil"/>
              <w:bottom w:val="single" w:sz="4" w:space="0" w:color="auto"/>
              <w:right w:val="single" w:sz="4" w:space="0" w:color="auto"/>
            </w:tcBorders>
            <w:shd w:val="clear" w:color="auto" w:fill="auto"/>
            <w:noWrap/>
          </w:tcPr>
          <w:p w14:paraId="5DD01B3B" w14:textId="4E804278" w:rsidR="009C218C" w:rsidRPr="009C218C" w:rsidRDefault="009C218C" w:rsidP="00705436">
            <w:pPr>
              <w:ind w:left="-51"/>
              <w:rPr>
                <w:rFonts w:ascii="Georgia" w:hAnsi="Georgia"/>
                <w:color w:val="000000"/>
                <w:sz w:val="20"/>
                <w:szCs w:val="18"/>
              </w:rPr>
            </w:pPr>
            <w:r w:rsidRPr="009C218C">
              <w:rPr>
                <w:rFonts w:ascii="Georgia" w:hAnsi="Georgia"/>
                <w:color w:val="000000"/>
                <w:sz w:val="20"/>
              </w:rPr>
              <w:t>162.79</w:t>
            </w:r>
          </w:p>
        </w:tc>
      </w:tr>
      <w:tr w:rsidR="009C218C" w:rsidRPr="007620D0" w14:paraId="627DB5D8" w14:textId="77777777" w:rsidTr="00705436">
        <w:trPr>
          <w:trHeight w:val="230"/>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1DDD34B9"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4</w:t>
            </w:r>
          </w:p>
        </w:tc>
        <w:tc>
          <w:tcPr>
            <w:tcW w:w="776" w:type="pct"/>
            <w:tcBorders>
              <w:top w:val="nil"/>
              <w:left w:val="nil"/>
              <w:bottom w:val="single" w:sz="4" w:space="0" w:color="auto"/>
              <w:right w:val="single" w:sz="4" w:space="0" w:color="auto"/>
            </w:tcBorders>
            <w:shd w:val="clear" w:color="auto" w:fill="auto"/>
            <w:noWrap/>
            <w:vAlign w:val="center"/>
            <w:hideMark/>
          </w:tcPr>
          <w:p w14:paraId="4A3C5388"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Umiam-Umtru Stage-IV</w:t>
            </w:r>
          </w:p>
        </w:tc>
        <w:tc>
          <w:tcPr>
            <w:tcW w:w="488" w:type="pct"/>
            <w:tcBorders>
              <w:top w:val="nil"/>
              <w:left w:val="nil"/>
              <w:bottom w:val="single" w:sz="4" w:space="0" w:color="auto"/>
              <w:right w:val="single" w:sz="4" w:space="0" w:color="auto"/>
            </w:tcBorders>
            <w:shd w:val="clear" w:color="auto" w:fill="auto"/>
            <w:noWrap/>
            <w:hideMark/>
          </w:tcPr>
          <w:p w14:paraId="075D5656"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207</w:t>
            </w:r>
          </w:p>
        </w:tc>
        <w:tc>
          <w:tcPr>
            <w:tcW w:w="366" w:type="pct"/>
            <w:tcBorders>
              <w:top w:val="nil"/>
              <w:left w:val="nil"/>
              <w:bottom w:val="single" w:sz="4" w:space="0" w:color="auto"/>
              <w:right w:val="single" w:sz="4" w:space="0" w:color="auto"/>
            </w:tcBorders>
            <w:shd w:val="clear" w:color="auto" w:fill="auto"/>
            <w:noWrap/>
            <w:hideMark/>
          </w:tcPr>
          <w:p w14:paraId="22C5D120"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1.0%</w:t>
            </w:r>
          </w:p>
        </w:tc>
        <w:tc>
          <w:tcPr>
            <w:tcW w:w="366" w:type="pct"/>
            <w:tcBorders>
              <w:top w:val="nil"/>
              <w:left w:val="nil"/>
              <w:bottom w:val="single" w:sz="4" w:space="0" w:color="auto"/>
              <w:right w:val="single" w:sz="4" w:space="0" w:color="auto"/>
            </w:tcBorders>
            <w:shd w:val="clear" w:color="auto" w:fill="auto"/>
            <w:noWrap/>
            <w:hideMark/>
          </w:tcPr>
          <w:p w14:paraId="19F46EBA"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0.5%</w:t>
            </w:r>
          </w:p>
        </w:tc>
        <w:tc>
          <w:tcPr>
            <w:tcW w:w="519" w:type="pct"/>
            <w:tcBorders>
              <w:top w:val="nil"/>
              <w:left w:val="nil"/>
              <w:bottom w:val="single" w:sz="4" w:space="0" w:color="auto"/>
              <w:right w:val="single" w:sz="4" w:space="0" w:color="auto"/>
            </w:tcBorders>
            <w:shd w:val="clear" w:color="auto" w:fill="auto"/>
            <w:noWrap/>
            <w:hideMark/>
          </w:tcPr>
          <w:p w14:paraId="51488E97"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1.5%</w:t>
            </w:r>
          </w:p>
        </w:tc>
        <w:tc>
          <w:tcPr>
            <w:tcW w:w="481" w:type="pct"/>
            <w:tcBorders>
              <w:top w:val="nil"/>
              <w:left w:val="nil"/>
              <w:bottom w:val="single" w:sz="4" w:space="0" w:color="auto"/>
              <w:right w:val="single" w:sz="4" w:space="0" w:color="auto"/>
            </w:tcBorders>
            <w:shd w:val="clear" w:color="auto" w:fill="auto"/>
            <w:noWrap/>
            <w:hideMark/>
          </w:tcPr>
          <w:p w14:paraId="67931976"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3.11</w:t>
            </w:r>
          </w:p>
        </w:tc>
        <w:tc>
          <w:tcPr>
            <w:tcW w:w="461" w:type="pct"/>
            <w:tcBorders>
              <w:top w:val="nil"/>
              <w:left w:val="nil"/>
              <w:bottom w:val="single" w:sz="4" w:space="0" w:color="auto"/>
              <w:right w:val="single" w:sz="4" w:space="0" w:color="auto"/>
            </w:tcBorders>
            <w:shd w:val="clear" w:color="auto" w:fill="auto"/>
            <w:noWrap/>
            <w:hideMark/>
          </w:tcPr>
          <w:p w14:paraId="11449F35"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203.9</w:t>
            </w:r>
          </w:p>
        </w:tc>
        <w:tc>
          <w:tcPr>
            <w:tcW w:w="439" w:type="pct"/>
            <w:tcBorders>
              <w:top w:val="nil"/>
              <w:left w:val="nil"/>
              <w:bottom w:val="single" w:sz="4" w:space="0" w:color="auto"/>
              <w:right w:val="single" w:sz="4" w:space="0" w:color="auto"/>
            </w:tcBorders>
            <w:shd w:val="clear" w:color="auto" w:fill="auto"/>
            <w:noWrap/>
          </w:tcPr>
          <w:p w14:paraId="109C77D8" w14:textId="2982C2C6"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188.32</w:t>
            </w:r>
          </w:p>
        </w:tc>
        <w:tc>
          <w:tcPr>
            <w:tcW w:w="407" w:type="pct"/>
            <w:tcBorders>
              <w:top w:val="nil"/>
              <w:left w:val="nil"/>
              <w:bottom w:val="single" w:sz="4" w:space="0" w:color="auto"/>
              <w:right w:val="single" w:sz="4" w:space="0" w:color="auto"/>
            </w:tcBorders>
            <w:shd w:val="clear" w:color="auto" w:fill="auto"/>
            <w:noWrap/>
          </w:tcPr>
          <w:p w14:paraId="5DAE46CD" w14:textId="1876DCDB"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1.18</w:t>
            </w:r>
          </w:p>
        </w:tc>
        <w:tc>
          <w:tcPr>
            <w:tcW w:w="430" w:type="pct"/>
            <w:tcBorders>
              <w:top w:val="nil"/>
              <w:left w:val="nil"/>
              <w:bottom w:val="single" w:sz="4" w:space="0" w:color="auto"/>
              <w:right w:val="single" w:sz="4" w:space="0" w:color="auto"/>
            </w:tcBorders>
            <w:shd w:val="clear" w:color="auto" w:fill="auto"/>
            <w:noWrap/>
          </w:tcPr>
          <w:p w14:paraId="01DEFC32" w14:textId="23037682" w:rsidR="009C218C" w:rsidRPr="009C218C" w:rsidRDefault="009C218C" w:rsidP="00705436">
            <w:pPr>
              <w:ind w:left="-51"/>
              <w:rPr>
                <w:rFonts w:ascii="Georgia" w:hAnsi="Georgia"/>
                <w:color w:val="000000"/>
                <w:sz w:val="20"/>
                <w:szCs w:val="18"/>
              </w:rPr>
            </w:pPr>
            <w:r w:rsidRPr="009C218C">
              <w:rPr>
                <w:rFonts w:ascii="Georgia" w:hAnsi="Georgia"/>
                <w:color w:val="000000"/>
                <w:sz w:val="20"/>
              </w:rPr>
              <w:t>187.14</w:t>
            </w:r>
          </w:p>
        </w:tc>
      </w:tr>
      <w:tr w:rsidR="009C218C" w:rsidRPr="007620D0" w14:paraId="17BF7C2C" w14:textId="77777777" w:rsidTr="00705436">
        <w:trPr>
          <w:trHeight w:val="230"/>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0BB61BB5"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5</w:t>
            </w:r>
          </w:p>
        </w:tc>
        <w:tc>
          <w:tcPr>
            <w:tcW w:w="776" w:type="pct"/>
            <w:tcBorders>
              <w:top w:val="nil"/>
              <w:left w:val="nil"/>
              <w:bottom w:val="single" w:sz="4" w:space="0" w:color="auto"/>
              <w:right w:val="single" w:sz="4" w:space="0" w:color="auto"/>
            </w:tcBorders>
            <w:shd w:val="clear" w:color="auto" w:fill="auto"/>
            <w:noWrap/>
            <w:vAlign w:val="center"/>
            <w:hideMark/>
          </w:tcPr>
          <w:p w14:paraId="64519903"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Umtru Power Station</w:t>
            </w:r>
          </w:p>
        </w:tc>
        <w:tc>
          <w:tcPr>
            <w:tcW w:w="488" w:type="pct"/>
            <w:tcBorders>
              <w:top w:val="nil"/>
              <w:left w:val="nil"/>
              <w:bottom w:val="single" w:sz="4" w:space="0" w:color="auto"/>
              <w:right w:val="single" w:sz="4" w:space="0" w:color="auto"/>
            </w:tcBorders>
            <w:shd w:val="clear" w:color="auto" w:fill="auto"/>
            <w:noWrap/>
            <w:hideMark/>
          </w:tcPr>
          <w:p w14:paraId="2967F304"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39</w:t>
            </w:r>
          </w:p>
        </w:tc>
        <w:tc>
          <w:tcPr>
            <w:tcW w:w="366" w:type="pct"/>
            <w:tcBorders>
              <w:top w:val="nil"/>
              <w:left w:val="nil"/>
              <w:bottom w:val="single" w:sz="4" w:space="0" w:color="auto"/>
              <w:right w:val="single" w:sz="4" w:space="0" w:color="auto"/>
            </w:tcBorders>
            <w:shd w:val="clear" w:color="auto" w:fill="auto"/>
            <w:noWrap/>
            <w:hideMark/>
          </w:tcPr>
          <w:p w14:paraId="13E29BA6"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0.7%</w:t>
            </w:r>
          </w:p>
        </w:tc>
        <w:tc>
          <w:tcPr>
            <w:tcW w:w="366" w:type="pct"/>
            <w:tcBorders>
              <w:top w:val="nil"/>
              <w:left w:val="nil"/>
              <w:bottom w:val="single" w:sz="4" w:space="0" w:color="auto"/>
              <w:right w:val="single" w:sz="4" w:space="0" w:color="auto"/>
            </w:tcBorders>
            <w:shd w:val="clear" w:color="auto" w:fill="auto"/>
            <w:noWrap/>
            <w:hideMark/>
          </w:tcPr>
          <w:p w14:paraId="7779F5CF"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0.5%</w:t>
            </w:r>
          </w:p>
        </w:tc>
        <w:tc>
          <w:tcPr>
            <w:tcW w:w="519" w:type="pct"/>
            <w:tcBorders>
              <w:top w:val="nil"/>
              <w:left w:val="nil"/>
              <w:bottom w:val="single" w:sz="4" w:space="0" w:color="auto"/>
              <w:right w:val="single" w:sz="4" w:space="0" w:color="auto"/>
            </w:tcBorders>
            <w:shd w:val="clear" w:color="auto" w:fill="auto"/>
            <w:noWrap/>
            <w:hideMark/>
          </w:tcPr>
          <w:p w14:paraId="1CD8037B"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1.2%</w:t>
            </w:r>
          </w:p>
        </w:tc>
        <w:tc>
          <w:tcPr>
            <w:tcW w:w="481" w:type="pct"/>
            <w:tcBorders>
              <w:top w:val="nil"/>
              <w:left w:val="nil"/>
              <w:bottom w:val="single" w:sz="4" w:space="0" w:color="auto"/>
              <w:right w:val="single" w:sz="4" w:space="0" w:color="auto"/>
            </w:tcBorders>
            <w:shd w:val="clear" w:color="auto" w:fill="auto"/>
            <w:noWrap/>
            <w:hideMark/>
          </w:tcPr>
          <w:p w14:paraId="260A5423"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0.47</w:t>
            </w:r>
          </w:p>
        </w:tc>
        <w:tc>
          <w:tcPr>
            <w:tcW w:w="461" w:type="pct"/>
            <w:tcBorders>
              <w:top w:val="nil"/>
              <w:left w:val="nil"/>
              <w:bottom w:val="single" w:sz="4" w:space="0" w:color="auto"/>
              <w:right w:val="single" w:sz="4" w:space="0" w:color="auto"/>
            </w:tcBorders>
            <w:shd w:val="clear" w:color="auto" w:fill="auto"/>
            <w:noWrap/>
            <w:hideMark/>
          </w:tcPr>
          <w:p w14:paraId="754A7D02"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38.53</w:t>
            </w:r>
          </w:p>
        </w:tc>
        <w:tc>
          <w:tcPr>
            <w:tcW w:w="439" w:type="pct"/>
            <w:tcBorders>
              <w:top w:val="nil"/>
              <w:left w:val="nil"/>
              <w:bottom w:val="single" w:sz="4" w:space="0" w:color="auto"/>
              <w:right w:val="single" w:sz="4" w:space="0" w:color="auto"/>
            </w:tcBorders>
            <w:shd w:val="clear" w:color="auto" w:fill="auto"/>
            <w:noWrap/>
          </w:tcPr>
          <w:p w14:paraId="45AA9BB4" w14:textId="56E60E80"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0</w:t>
            </w:r>
          </w:p>
        </w:tc>
        <w:tc>
          <w:tcPr>
            <w:tcW w:w="407" w:type="pct"/>
            <w:tcBorders>
              <w:top w:val="nil"/>
              <w:left w:val="nil"/>
              <w:bottom w:val="single" w:sz="4" w:space="0" w:color="auto"/>
              <w:right w:val="single" w:sz="4" w:space="0" w:color="auto"/>
            </w:tcBorders>
            <w:shd w:val="clear" w:color="auto" w:fill="auto"/>
            <w:noWrap/>
          </w:tcPr>
          <w:p w14:paraId="3D242A79" w14:textId="52C723F5"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0</w:t>
            </w:r>
          </w:p>
        </w:tc>
        <w:tc>
          <w:tcPr>
            <w:tcW w:w="430" w:type="pct"/>
            <w:tcBorders>
              <w:top w:val="nil"/>
              <w:left w:val="nil"/>
              <w:bottom w:val="single" w:sz="4" w:space="0" w:color="auto"/>
              <w:right w:val="single" w:sz="4" w:space="0" w:color="auto"/>
            </w:tcBorders>
            <w:shd w:val="clear" w:color="auto" w:fill="auto"/>
            <w:noWrap/>
          </w:tcPr>
          <w:p w14:paraId="2F7E34E2" w14:textId="3CBB5794" w:rsidR="009C218C" w:rsidRPr="009C218C" w:rsidRDefault="009C218C" w:rsidP="00705436">
            <w:pPr>
              <w:ind w:left="-51"/>
              <w:rPr>
                <w:rFonts w:ascii="Georgia" w:hAnsi="Georgia"/>
                <w:color w:val="000000"/>
                <w:sz w:val="20"/>
                <w:szCs w:val="18"/>
              </w:rPr>
            </w:pPr>
            <w:r w:rsidRPr="009C218C">
              <w:rPr>
                <w:rFonts w:ascii="Georgia" w:hAnsi="Georgia"/>
                <w:color w:val="000000"/>
                <w:sz w:val="20"/>
              </w:rPr>
              <w:t>0.00</w:t>
            </w:r>
          </w:p>
        </w:tc>
      </w:tr>
      <w:tr w:rsidR="009C218C" w:rsidRPr="007620D0" w14:paraId="0912F1AD" w14:textId="77777777" w:rsidTr="00705436">
        <w:trPr>
          <w:trHeight w:val="230"/>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280B750F"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6</w:t>
            </w:r>
          </w:p>
        </w:tc>
        <w:tc>
          <w:tcPr>
            <w:tcW w:w="776" w:type="pct"/>
            <w:tcBorders>
              <w:top w:val="nil"/>
              <w:left w:val="nil"/>
              <w:bottom w:val="single" w:sz="4" w:space="0" w:color="auto"/>
              <w:right w:val="single" w:sz="4" w:space="0" w:color="auto"/>
            </w:tcBorders>
            <w:shd w:val="clear" w:color="auto" w:fill="auto"/>
            <w:noWrap/>
            <w:vAlign w:val="center"/>
            <w:hideMark/>
          </w:tcPr>
          <w:p w14:paraId="5A968874"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Mini Hydel (Sonapani)</w:t>
            </w:r>
          </w:p>
        </w:tc>
        <w:tc>
          <w:tcPr>
            <w:tcW w:w="488" w:type="pct"/>
            <w:tcBorders>
              <w:top w:val="nil"/>
              <w:left w:val="nil"/>
              <w:bottom w:val="single" w:sz="4" w:space="0" w:color="auto"/>
              <w:right w:val="single" w:sz="4" w:space="0" w:color="auto"/>
            </w:tcBorders>
            <w:shd w:val="clear" w:color="auto" w:fill="auto"/>
            <w:noWrap/>
            <w:hideMark/>
          </w:tcPr>
          <w:p w14:paraId="5BFDB955"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5</w:t>
            </w:r>
          </w:p>
        </w:tc>
        <w:tc>
          <w:tcPr>
            <w:tcW w:w="366" w:type="pct"/>
            <w:tcBorders>
              <w:top w:val="nil"/>
              <w:left w:val="nil"/>
              <w:bottom w:val="single" w:sz="4" w:space="0" w:color="auto"/>
              <w:right w:val="single" w:sz="4" w:space="0" w:color="auto"/>
            </w:tcBorders>
            <w:shd w:val="clear" w:color="auto" w:fill="auto"/>
            <w:noWrap/>
            <w:hideMark/>
          </w:tcPr>
          <w:p w14:paraId="2FBBE100"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0.7%</w:t>
            </w:r>
          </w:p>
        </w:tc>
        <w:tc>
          <w:tcPr>
            <w:tcW w:w="366" w:type="pct"/>
            <w:tcBorders>
              <w:top w:val="nil"/>
              <w:left w:val="nil"/>
              <w:bottom w:val="single" w:sz="4" w:space="0" w:color="auto"/>
              <w:right w:val="single" w:sz="4" w:space="0" w:color="auto"/>
            </w:tcBorders>
            <w:shd w:val="clear" w:color="auto" w:fill="auto"/>
            <w:noWrap/>
            <w:hideMark/>
          </w:tcPr>
          <w:p w14:paraId="55B37EC9"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0.5%</w:t>
            </w:r>
          </w:p>
        </w:tc>
        <w:tc>
          <w:tcPr>
            <w:tcW w:w="519" w:type="pct"/>
            <w:tcBorders>
              <w:top w:val="nil"/>
              <w:left w:val="nil"/>
              <w:bottom w:val="single" w:sz="4" w:space="0" w:color="auto"/>
              <w:right w:val="single" w:sz="4" w:space="0" w:color="auto"/>
            </w:tcBorders>
            <w:shd w:val="clear" w:color="auto" w:fill="auto"/>
            <w:noWrap/>
            <w:hideMark/>
          </w:tcPr>
          <w:p w14:paraId="6213D14A"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1.2%</w:t>
            </w:r>
          </w:p>
        </w:tc>
        <w:tc>
          <w:tcPr>
            <w:tcW w:w="481" w:type="pct"/>
            <w:tcBorders>
              <w:top w:val="nil"/>
              <w:left w:val="nil"/>
              <w:bottom w:val="single" w:sz="4" w:space="0" w:color="auto"/>
              <w:right w:val="single" w:sz="4" w:space="0" w:color="auto"/>
            </w:tcBorders>
            <w:shd w:val="clear" w:color="auto" w:fill="auto"/>
            <w:noWrap/>
            <w:hideMark/>
          </w:tcPr>
          <w:p w14:paraId="2D50EFC8"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0.06</w:t>
            </w:r>
          </w:p>
        </w:tc>
        <w:tc>
          <w:tcPr>
            <w:tcW w:w="461" w:type="pct"/>
            <w:tcBorders>
              <w:top w:val="nil"/>
              <w:left w:val="nil"/>
              <w:bottom w:val="single" w:sz="4" w:space="0" w:color="auto"/>
              <w:right w:val="single" w:sz="4" w:space="0" w:color="auto"/>
            </w:tcBorders>
            <w:shd w:val="clear" w:color="auto" w:fill="auto"/>
            <w:noWrap/>
            <w:hideMark/>
          </w:tcPr>
          <w:p w14:paraId="150B94B7"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4.94</w:t>
            </w:r>
          </w:p>
        </w:tc>
        <w:tc>
          <w:tcPr>
            <w:tcW w:w="439" w:type="pct"/>
            <w:tcBorders>
              <w:top w:val="nil"/>
              <w:left w:val="nil"/>
              <w:bottom w:val="single" w:sz="4" w:space="0" w:color="auto"/>
              <w:right w:val="single" w:sz="4" w:space="0" w:color="auto"/>
            </w:tcBorders>
            <w:shd w:val="clear" w:color="auto" w:fill="auto"/>
            <w:noWrap/>
          </w:tcPr>
          <w:p w14:paraId="7854E7C6" w14:textId="7A1B9FFB"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6.08</w:t>
            </w:r>
          </w:p>
        </w:tc>
        <w:tc>
          <w:tcPr>
            <w:tcW w:w="407" w:type="pct"/>
            <w:tcBorders>
              <w:top w:val="nil"/>
              <w:left w:val="nil"/>
              <w:bottom w:val="single" w:sz="4" w:space="0" w:color="auto"/>
              <w:right w:val="single" w:sz="4" w:space="0" w:color="auto"/>
            </w:tcBorders>
            <w:shd w:val="clear" w:color="auto" w:fill="auto"/>
            <w:noWrap/>
          </w:tcPr>
          <w:p w14:paraId="6C4C9914" w14:textId="10D54A83"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0.06</w:t>
            </w:r>
          </w:p>
        </w:tc>
        <w:tc>
          <w:tcPr>
            <w:tcW w:w="430" w:type="pct"/>
            <w:tcBorders>
              <w:top w:val="nil"/>
              <w:left w:val="nil"/>
              <w:bottom w:val="single" w:sz="4" w:space="0" w:color="auto"/>
              <w:right w:val="single" w:sz="4" w:space="0" w:color="auto"/>
            </w:tcBorders>
            <w:shd w:val="clear" w:color="auto" w:fill="auto"/>
            <w:noWrap/>
          </w:tcPr>
          <w:p w14:paraId="519981BC" w14:textId="61982D79" w:rsidR="009C218C" w:rsidRPr="009C218C" w:rsidRDefault="009C218C" w:rsidP="00705436">
            <w:pPr>
              <w:ind w:left="-51"/>
              <w:rPr>
                <w:rFonts w:ascii="Georgia" w:hAnsi="Georgia"/>
                <w:color w:val="000000"/>
                <w:sz w:val="20"/>
                <w:szCs w:val="18"/>
              </w:rPr>
            </w:pPr>
            <w:r w:rsidRPr="009C218C">
              <w:rPr>
                <w:rFonts w:ascii="Georgia" w:hAnsi="Georgia"/>
                <w:color w:val="000000"/>
                <w:sz w:val="20"/>
              </w:rPr>
              <w:t>6.02</w:t>
            </w:r>
          </w:p>
        </w:tc>
      </w:tr>
      <w:tr w:rsidR="009C218C" w:rsidRPr="007620D0" w14:paraId="26120AAD" w14:textId="77777777" w:rsidTr="00705436">
        <w:trPr>
          <w:trHeight w:val="230"/>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36CE2E4C"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7</w:t>
            </w:r>
          </w:p>
        </w:tc>
        <w:tc>
          <w:tcPr>
            <w:tcW w:w="776" w:type="pct"/>
            <w:tcBorders>
              <w:top w:val="nil"/>
              <w:left w:val="nil"/>
              <w:bottom w:val="single" w:sz="4" w:space="0" w:color="auto"/>
              <w:right w:val="single" w:sz="4" w:space="0" w:color="auto"/>
            </w:tcBorders>
            <w:shd w:val="clear" w:color="auto" w:fill="auto"/>
            <w:noWrap/>
            <w:vAlign w:val="center"/>
            <w:hideMark/>
          </w:tcPr>
          <w:p w14:paraId="1ED2F925"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MyntduLeshka HEP</w:t>
            </w:r>
          </w:p>
        </w:tc>
        <w:tc>
          <w:tcPr>
            <w:tcW w:w="488" w:type="pct"/>
            <w:tcBorders>
              <w:top w:val="nil"/>
              <w:left w:val="nil"/>
              <w:bottom w:val="single" w:sz="4" w:space="0" w:color="auto"/>
              <w:right w:val="single" w:sz="4" w:space="0" w:color="auto"/>
            </w:tcBorders>
            <w:shd w:val="clear" w:color="auto" w:fill="auto"/>
            <w:noWrap/>
            <w:hideMark/>
          </w:tcPr>
          <w:p w14:paraId="1EACCA9F"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486.23</w:t>
            </w:r>
          </w:p>
        </w:tc>
        <w:tc>
          <w:tcPr>
            <w:tcW w:w="366" w:type="pct"/>
            <w:tcBorders>
              <w:top w:val="nil"/>
              <w:left w:val="nil"/>
              <w:bottom w:val="single" w:sz="4" w:space="0" w:color="auto"/>
              <w:right w:val="single" w:sz="4" w:space="0" w:color="auto"/>
            </w:tcBorders>
            <w:shd w:val="clear" w:color="auto" w:fill="auto"/>
            <w:noWrap/>
            <w:hideMark/>
          </w:tcPr>
          <w:p w14:paraId="65E608DB"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1.0%</w:t>
            </w:r>
          </w:p>
        </w:tc>
        <w:tc>
          <w:tcPr>
            <w:tcW w:w="366" w:type="pct"/>
            <w:tcBorders>
              <w:top w:val="nil"/>
              <w:left w:val="nil"/>
              <w:bottom w:val="single" w:sz="4" w:space="0" w:color="auto"/>
              <w:right w:val="single" w:sz="4" w:space="0" w:color="auto"/>
            </w:tcBorders>
            <w:shd w:val="clear" w:color="auto" w:fill="auto"/>
            <w:noWrap/>
            <w:hideMark/>
          </w:tcPr>
          <w:p w14:paraId="44EEA442"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0.5%</w:t>
            </w:r>
          </w:p>
        </w:tc>
        <w:tc>
          <w:tcPr>
            <w:tcW w:w="519" w:type="pct"/>
            <w:tcBorders>
              <w:top w:val="nil"/>
              <w:left w:val="nil"/>
              <w:bottom w:val="single" w:sz="4" w:space="0" w:color="auto"/>
              <w:right w:val="single" w:sz="4" w:space="0" w:color="auto"/>
            </w:tcBorders>
            <w:shd w:val="clear" w:color="auto" w:fill="auto"/>
            <w:noWrap/>
            <w:hideMark/>
          </w:tcPr>
          <w:p w14:paraId="122044A2"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1.5%</w:t>
            </w:r>
          </w:p>
        </w:tc>
        <w:tc>
          <w:tcPr>
            <w:tcW w:w="481" w:type="pct"/>
            <w:tcBorders>
              <w:top w:val="nil"/>
              <w:left w:val="nil"/>
              <w:bottom w:val="single" w:sz="4" w:space="0" w:color="auto"/>
              <w:right w:val="single" w:sz="4" w:space="0" w:color="auto"/>
            </w:tcBorders>
            <w:shd w:val="clear" w:color="auto" w:fill="auto"/>
            <w:noWrap/>
            <w:hideMark/>
          </w:tcPr>
          <w:p w14:paraId="7AF5A75B"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7.29</w:t>
            </w:r>
          </w:p>
        </w:tc>
        <w:tc>
          <w:tcPr>
            <w:tcW w:w="461" w:type="pct"/>
            <w:tcBorders>
              <w:top w:val="nil"/>
              <w:left w:val="nil"/>
              <w:bottom w:val="single" w:sz="4" w:space="0" w:color="auto"/>
              <w:right w:val="single" w:sz="4" w:space="0" w:color="auto"/>
            </w:tcBorders>
            <w:shd w:val="clear" w:color="auto" w:fill="auto"/>
            <w:noWrap/>
            <w:hideMark/>
          </w:tcPr>
          <w:p w14:paraId="3D224A37"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478.94</w:t>
            </w:r>
          </w:p>
        </w:tc>
        <w:tc>
          <w:tcPr>
            <w:tcW w:w="439" w:type="pct"/>
            <w:tcBorders>
              <w:top w:val="nil"/>
              <w:left w:val="nil"/>
              <w:bottom w:val="single" w:sz="4" w:space="0" w:color="auto"/>
              <w:right w:val="single" w:sz="4" w:space="0" w:color="auto"/>
            </w:tcBorders>
            <w:shd w:val="clear" w:color="auto" w:fill="auto"/>
            <w:noWrap/>
          </w:tcPr>
          <w:p w14:paraId="6785F911" w14:textId="26156967"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420.61</w:t>
            </w:r>
          </w:p>
        </w:tc>
        <w:tc>
          <w:tcPr>
            <w:tcW w:w="407" w:type="pct"/>
            <w:tcBorders>
              <w:top w:val="nil"/>
              <w:left w:val="nil"/>
              <w:bottom w:val="single" w:sz="4" w:space="0" w:color="auto"/>
              <w:right w:val="single" w:sz="4" w:space="0" w:color="auto"/>
            </w:tcBorders>
            <w:shd w:val="clear" w:color="auto" w:fill="auto"/>
            <w:noWrap/>
          </w:tcPr>
          <w:p w14:paraId="19B10042" w14:textId="1E796438"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3.5</w:t>
            </w:r>
          </w:p>
        </w:tc>
        <w:tc>
          <w:tcPr>
            <w:tcW w:w="430" w:type="pct"/>
            <w:tcBorders>
              <w:top w:val="nil"/>
              <w:left w:val="nil"/>
              <w:bottom w:val="single" w:sz="4" w:space="0" w:color="auto"/>
              <w:right w:val="single" w:sz="4" w:space="0" w:color="auto"/>
            </w:tcBorders>
            <w:shd w:val="clear" w:color="auto" w:fill="auto"/>
            <w:noWrap/>
          </w:tcPr>
          <w:p w14:paraId="366399DA" w14:textId="32067CFB" w:rsidR="009C218C" w:rsidRPr="009C218C" w:rsidRDefault="009C218C" w:rsidP="00705436">
            <w:pPr>
              <w:ind w:left="-51"/>
              <w:rPr>
                <w:rFonts w:ascii="Georgia" w:hAnsi="Georgia"/>
                <w:color w:val="000000"/>
                <w:sz w:val="20"/>
                <w:szCs w:val="18"/>
              </w:rPr>
            </w:pPr>
            <w:r w:rsidRPr="009C218C">
              <w:rPr>
                <w:rFonts w:ascii="Georgia" w:hAnsi="Georgia"/>
                <w:color w:val="000000"/>
                <w:sz w:val="20"/>
              </w:rPr>
              <w:t>417.11</w:t>
            </w:r>
          </w:p>
        </w:tc>
      </w:tr>
      <w:tr w:rsidR="009C218C" w:rsidRPr="007620D0" w14:paraId="5A22DB20" w14:textId="77777777" w:rsidTr="00705436">
        <w:trPr>
          <w:trHeight w:val="230"/>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1D305775"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8</w:t>
            </w:r>
          </w:p>
        </w:tc>
        <w:tc>
          <w:tcPr>
            <w:tcW w:w="776" w:type="pct"/>
            <w:tcBorders>
              <w:top w:val="nil"/>
              <w:left w:val="nil"/>
              <w:bottom w:val="single" w:sz="4" w:space="0" w:color="auto"/>
              <w:right w:val="single" w:sz="4" w:space="0" w:color="auto"/>
            </w:tcBorders>
            <w:shd w:val="clear" w:color="auto" w:fill="auto"/>
            <w:noWrap/>
            <w:vAlign w:val="center"/>
            <w:hideMark/>
          </w:tcPr>
          <w:p w14:paraId="6297D75A"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New Umtru HEP</w:t>
            </w:r>
          </w:p>
        </w:tc>
        <w:tc>
          <w:tcPr>
            <w:tcW w:w="488" w:type="pct"/>
            <w:tcBorders>
              <w:top w:val="nil"/>
              <w:left w:val="nil"/>
              <w:bottom w:val="single" w:sz="4" w:space="0" w:color="auto"/>
              <w:right w:val="single" w:sz="4" w:space="0" w:color="auto"/>
            </w:tcBorders>
            <w:shd w:val="clear" w:color="auto" w:fill="auto"/>
            <w:noWrap/>
            <w:hideMark/>
          </w:tcPr>
          <w:p w14:paraId="762D8C35"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235</w:t>
            </w:r>
          </w:p>
        </w:tc>
        <w:tc>
          <w:tcPr>
            <w:tcW w:w="366" w:type="pct"/>
            <w:tcBorders>
              <w:top w:val="nil"/>
              <w:left w:val="nil"/>
              <w:bottom w:val="single" w:sz="4" w:space="0" w:color="auto"/>
              <w:right w:val="single" w:sz="4" w:space="0" w:color="auto"/>
            </w:tcBorders>
            <w:shd w:val="clear" w:color="auto" w:fill="auto"/>
            <w:noWrap/>
            <w:hideMark/>
          </w:tcPr>
          <w:p w14:paraId="4C68B867"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1.0%</w:t>
            </w:r>
          </w:p>
        </w:tc>
        <w:tc>
          <w:tcPr>
            <w:tcW w:w="366" w:type="pct"/>
            <w:tcBorders>
              <w:top w:val="nil"/>
              <w:left w:val="nil"/>
              <w:bottom w:val="single" w:sz="4" w:space="0" w:color="auto"/>
              <w:right w:val="single" w:sz="4" w:space="0" w:color="auto"/>
            </w:tcBorders>
            <w:shd w:val="clear" w:color="auto" w:fill="auto"/>
            <w:noWrap/>
            <w:hideMark/>
          </w:tcPr>
          <w:p w14:paraId="687717AA"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0.5%</w:t>
            </w:r>
          </w:p>
        </w:tc>
        <w:tc>
          <w:tcPr>
            <w:tcW w:w="519" w:type="pct"/>
            <w:tcBorders>
              <w:top w:val="nil"/>
              <w:left w:val="nil"/>
              <w:bottom w:val="single" w:sz="4" w:space="0" w:color="auto"/>
              <w:right w:val="single" w:sz="4" w:space="0" w:color="auto"/>
            </w:tcBorders>
            <w:shd w:val="clear" w:color="auto" w:fill="auto"/>
            <w:noWrap/>
            <w:hideMark/>
          </w:tcPr>
          <w:p w14:paraId="3BD3C334"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1.5%</w:t>
            </w:r>
          </w:p>
        </w:tc>
        <w:tc>
          <w:tcPr>
            <w:tcW w:w="481" w:type="pct"/>
            <w:tcBorders>
              <w:top w:val="nil"/>
              <w:left w:val="nil"/>
              <w:bottom w:val="single" w:sz="4" w:space="0" w:color="auto"/>
              <w:right w:val="single" w:sz="4" w:space="0" w:color="auto"/>
            </w:tcBorders>
            <w:shd w:val="clear" w:color="auto" w:fill="auto"/>
            <w:noWrap/>
            <w:hideMark/>
          </w:tcPr>
          <w:p w14:paraId="45F471B0"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3.52</w:t>
            </w:r>
          </w:p>
        </w:tc>
        <w:tc>
          <w:tcPr>
            <w:tcW w:w="461" w:type="pct"/>
            <w:tcBorders>
              <w:top w:val="nil"/>
              <w:left w:val="nil"/>
              <w:bottom w:val="single" w:sz="4" w:space="0" w:color="auto"/>
              <w:right w:val="single" w:sz="4" w:space="0" w:color="auto"/>
            </w:tcBorders>
            <w:shd w:val="clear" w:color="auto" w:fill="auto"/>
            <w:noWrap/>
            <w:hideMark/>
          </w:tcPr>
          <w:p w14:paraId="4DBA57EF" w14:textId="77777777" w:rsidR="009C218C" w:rsidRPr="007620D0" w:rsidRDefault="009C218C" w:rsidP="00705436">
            <w:pPr>
              <w:spacing w:after="0" w:line="240" w:lineRule="auto"/>
              <w:ind w:left="-51"/>
              <w:rPr>
                <w:rFonts w:ascii="Georgia" w:eastAsia="Times New Roman" w:hAnsi="Georgia" w:cs="Calibri"/>
                <w:color w:val="000000"/>
                <w:sz w:val="18"/>
                <w:szCs w:val="18"/>
              </w:rPr>
            </w:pPr>
            <w:r w:rsidRPr="007620D0">
              <w:rPr>
                <w:rFonts w:ascii="Georgia" w:eastAsia="Times New Roman" w:hAnsi="Georgia" w:cs="Calibri"/>
                <w:color w:val="000000"/>
                <w:sz w:val="18"/>
                <w:szCs w:val="18"/>
              </w:rPr>
              <w:t>231.48</w:t>
            </w:r>
          </w:p>
        </w:tc>
        <w:tc>
          <w:tcPr>
            <w:tcW w:w="439" w:type="pct"/>
            <w:tcBorders>
              <w:top w:val="nil"/>
              <w:left w:val="nil"/>
              <w:bottom w:val="single" w:sz="4" w:space="0" w:color="auto"/>
              <w:right w:val="single" w:sz="4" w:space="0" w:color="auto"/>
            </w:tcBorders>
            <w:shd w:val="clear" w:color="auto" w:fill="auto"/>
            <w:noWrap/>
          </w:tcPr>
          <w:p w14:paraId="00CC545A" w14:textId="3DF56B59"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229.8</w:t>
            </w:r>
          </w:p>
        </w:tc>
        <w:tc>
          <w:tcPr>
            <w:tcW w:w="407" w:type="pct"/>
            <w:tcBorders>
              <w:top w:val="nil"/>
              <w:left w:val="nil"/>
              <w:bottom w:val="single" w:sz="4" w:space="0" w:color="auto"/>
              <w:right w:val="single" w:sz="4" w:space="0" w:color="auto"/>
            </w:tcBorders>
            <w:shd w:val="clear" w:color="auto" w:fill="auto"/>
            <w:noWrap/>
          </w:tcPr>
          <w:p w14:paraId="39CCC315" w14:textId="0B23F7B9" w:rsidR="009C218C" w:rsidRPr="009C218C" w:rsidRDefault="009C218C" w:rsidP="00705436">
            <w:pPr>
              <w:spacing w:after="0" w:line="240" w:lineRule="auto"/>
              <w:ind w:left="-51"/>
              <w:rPr>
                <w:rFonts w:ascii="Georgia" w:eastAsia="Times New Roman" w:hAnsi="Georgia" w:cs="Calibri"/>
                <w:color w:val="000000"/>
                <w:sz w:val="20"/>
                <w:szCs w:val="18"/>
              </w:rPr>
            </w:pPr>
            <w:r w:rsidRPr="009C218C">
              <w:rPr>
                <w:rFonts w:ascii="Georgia" w:hAnsi="Georgia"/>
                <w:color w:val="000000"/>
                <w:sz w:val="20"/>
              </w:rPr>
              <w:t>1.48</w:t>
            </w:r>
          </w:p>
        </w:tc>
        <w:tc>
          <w:tcPr>
            <w:tcW w:w="430" w:type="pct"/>
            <w:tcBorders>
              <w:top w:val="nil"/>
              <w:left w:val="nil"/>
              <w:bottom w:val="single" w:sz="4" w:space="0" w:color="auto"/>
              <w:right w:val="single" w:sz="4" w:space="0" w:color="auto"/>
            </w:tcBorders>
            <w:shd w:val="clear" w:color="auto" w:fill="auto"/>
            <w:noWrap/>
          </w:tcPr>
          <w:p w14:paraId="7F64D3EB" w14:textId="7DE32522" w:rsidR="009C218C" w:rsidRPr="009C218C" w:rsidRDefault="009C218C" w:rsidP="00705436">
            <w:pPr>
              <w:ind w:left="-51"/>
              <w:rPr>
                <w:rFonts w:ascii="Georgia" w:hAnsi="Georgia"/>
                <w:color w:val="000000"/>
                <w:sz w:val="20"/>
                <w:szCs w:val="18"/>
              </w:rPr>
            </w:pPr>
            <w:r w:rsidRPr="009C218C">
              <w:rPr>
                <w:rFonts w:ascii="Georgia" w:hAnsi="Georgia"/>
                <w:color w:val="000000"/>
                <w:sz w:val="20"/>
              </w:rPr>
              <w:t>228.32</w:t>
            </w:r>
          </w:p>
        </w:tc>
      </w:tr>
      <w:tr w:rsidR="009C218C" w:rsidRPr="007620D0" w14:paraId="19593818" w14:textId="77777777" w:rsidTr="00705436">
        <w:trPr>
          <w:trHeight w:val="230"/>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063D451A" w14:textId="77777777" w:rsidR="009C218C" w:rsidRPr="007620D0" w:rsidRDefault="009C218C" w:rsidP="00E01791">
            <w:pPr>
              <w:spacing w:after="0" w:line="240" w:lineRule="auto"/>
              <w:rPr>
                <w:rFonts w:ascii="Georgia" w:eastAsia="Times New Roman" w:hAnsi="Georgia" w:cs="Calibri"/>
                <w:color w:val="000000"/>
                <w:sz w:val="18"/>
                <w:szCs w:val="18"/>
              </w:rPr>
            </w:pPr>
            <w:r w:rsidRPr="007620D0">
              <w:rPr>
                <w:rFonts w:ascii="Georgia" w:eastAsia="Times New Roman" w:hAnsi="Georgia" w:cs="Calibri"/>
                <w:color w:val="000000"/>
                <w:sz w:val="18"/>
                <w:szCs w:val="18"/>
              </w:rPr>
              <w:t> 9</w:t>
            </w:r>
          </w:p>
        </w:tc>
        <w:tc>
          <w:tcPr>
            <w:tcW w:w="776" w:type="pct"/>
            <w:tcBorders>
              <w:top w:val="nil"/>
              <w:left w:val="nil"/>
              <w:bottom w:val="single" w:sz="4" w:space="0" w:color="auto"/>
              <w:right w:val="single" w:sz="4" w:space="0" w:color="auto"/>
            </w:tcBorders>
            <w:shd w:val="clear" w:color="auto" w:fill="auto"/>
            <w:noWrap/>
            <w:vAlign w:val="center"/>
          </w:tcPr>
          <w:p w14:paraId="7790AE30" w14:textId="77777777" w:rsidR="009C218C" w:rsidRPr="00390A2D" w:rsidRDefault="009C218C" w:rsidP="00E01791">
            <w:pPr>
              <w:spacing w:after="0" w:line="240" w:lineRule="auto"/>
              <w:rPr>
                <w:rFonts w:ascii="Georgia" w:eastAsia="Times New Roman" w:hAnsi="Georgia" w:cs="Calibri"/>
                <w:bCs/>
                <w:color w:val="000000"/>
                <w:sz w:val="18"/>
                <w:szCs w:val="18"/>
              </w:rPr>
            </w:pPr>
            <w:r w:rsidRPr="00390A2D">
              <w:rPr>
                <w:rFonts w:ascii="Georgia" w:eastAsia="Times New Roman" w:hAnsi="Georgia" w:cs="Calibri"/>
                <w:bCs/>
                <w:color w:val="000000"/>
                <w:sz w:val="18"/>
                <w:szCs w:val="18"/>
              </w:rPr>
              <w:t>Lakroh</w:t>
            </w:r>
            <w:r>
              <w:rPr>
                <w:rFonts w:ascii="Georgia" w:eastAsia="Times New Roman" w:hAnsi="Georgia" w:cs="Calibri"/>
                <w:bCs/>
                <w:color w:val="000000"/>
                <w:sz w:val="18"/>
                <w:szCs w:val="18"/>
              </w:rPr>
              <w:t xml:space="preserve"> MHP</w:t>
            </w:r>
          </w:p>
        </w:tc>
        <w:tc>
          <w:tcPr>
            <w:tcW w:w="488" w:type="pct"/>
            <w:tcBorders>
              <w:top w:val="nil"/>
              <w:left w:val="nil"/>
              <w:bottom w:val="single" w:sz="4" w:space="0" w:color="auto"/>
              <w:right w:val="single" w:sz="4" w:space="0" w:color="auto"/>
            </w:tcBorders>
            <w:shd w:val="clear" w:color="auto" w:fill="auto"/>
            <w:noWrap/>
          </w:tcPr>
          <w:p w14:paraId="04776D0A" w14:textId="77777777" w:rsidR="009C218C" w:rsidRPr="007620D0" w:rsidRDefault="009C218C" w:rsidP="00705436">
            <w:pPr>
              <w:spacing w:after="0" w:line="240" w:lineRule="auto"/>
              <w:ind w:left="-51"/>
              <w:rPr>
                <w:rFonts w:ascii="Georgia" w:eastAsia="Times New Roman" w:hAnsi="Georgia" w:cs="Calibri"/>
                <w:bCs/>
                <w:color w:val="000000"/>
                <w:sz w:val="18"/>
                <w:szCs w:val="18"/>
              </w:rPr>
            </w:pPr>
            <w:r w:rsidRPr="007620D0">
              <w:rPr>
                <w:rFonts w:ascii="Georgia" w:eastAsia="Times New Roman" w:hAnsi="Georgia" w:cs="Calibri"/>
                <w:bCs/>
                <w:color w:val="000000"/>
                <w:sz w:val="18"/>
                <w:szCs w:val="18"/>
              </w:rPr>
              <w:t>11.01</w:t>
            </w:r>
          </w:p>
        </w:tc>
        <w:tc>
          <w:tcPr>
            <w:tcW w:w="366" w:type="pct"/>
            <w:tcBorders>
              <w:top w:val="nil"/>
              <w:left w:val="nil"/>
              <w:bottom w:val="single" w:sz="4" w:space="0" w:color="auto"/>
              <w:right w:val="single" w:sz="4" w:space="0" w:color="auto"/>
            </w:tcBorders>
            <w:shd w:val="clear" w:color="auto" w:fill="auto"/>
            <w:noWrap/>
          </w:tcPr>
          <w:p w14:paraId="749EC703" w14:textId="77777777" w:rsidR="009C218C" w:rsidRPr="007620D0" w:rsidRDefault="009C218C" w:rsidP="00705436">
            <w:pPr>
              <w:spacing w:after="0" w:line="240" w:lineRule="auto"/>
              <w:ind w:left="-51"/>
              <w:rPr>
                <w:rFonts w:ascii="Georgia" w:eastAsia="Times New Roman" w:hAnsi="Georgia" w:cs="Calibri"/>
                <w:bCs/>
                <w:color w:val="000000"/>
                <w:sz w:val="18"/>
                <w:szCs w:val="18"/>
              </w:rPr>
            </w:pPr>
            <w:r w:rsidRPr="007620D0">
              <w:rPr>
                <w:rFonts w:ascii="Georgia" w:eastAsia="Times New Roman" w:hAnsi="Georgia" w:cs="Calibri"/>
                <w:bCs/>
                <w:color w:val="000000"/>
                <w:sz w:val="18"/>
                <w:szCs w:val="18"/>
              </w:rPr>
              <w:t>1.0%</w:t>
            </w:r>
          </w:p>
        </w:tc>
        <w:tc>
          <w:tcPr>
            <w:tcW w:w="366" w:type="pct"/>
            <w:tcBorders>
              <w:top w:val="nil"/>
              <w:left w:val="nil"/>
              <w:bottom w:val="single" w:sz="4" w:space="0" w:color="auto"/>
              <w:right w:val="single" w:sz="4" w:space="0" w:color="auto"/>
            </w:tcBorders>
            <w:shd w:val="clear" w:color="auto" w:fill="auto"/>
            <w:noWrap/>
          </w:tcPr>
          <w:p w14:paraId="0A45A8A4" w14:textId="77777777" w:rsidR="009C218C" w:rsidRPr="007620D0" w:rsidRDefault="009C218C" w:rsidP="00705436">
            <w:pPr>
              <w:spacing w:after="0" w:line="240" w:lineRule="auto"/>
              <w:ind w:left="-51"/>
              <w:rPr>
                <w:rFonts w:ascii="Georgia" w:eastAsia="Times New Roman" w:hAnsi="Georgia" w:cs="Calibri"/>
                <w:bCs/>
                <w:color w:val="000000"/>
                <w:sz w:val="18"/>
                <w:szCs w:val="18"/>
              </w:rPr>
            </w:pPr>
            <w:r w:rsidRPr="007620D0">
              <w:rPr>
                <w:rFonts w:ascii="Georgia" w:eastAsia="Times New Roman" w:hAnsi="Georgia" w:cs="Calibri"/>
                <w:bCs/>
                <w:color w:val="000000"/>
                <w:sz w:val="18"/>
                <w:szCs w:val="18"/>
              </w:rPr>
              <w:t>0.5%</w:t>
            </w:r>
          </w:p>
        </w:tc>
        <w:tc>
          <w:tcPr>
            <w:tcW w:w="519" w:type="pct"/>
            <w:tcBorders>
              <w:top w:val="nil"/>
              <w:left w:val="nil"/>
              <w:bottom w:val="single" w:sz="4" w:space="0" w:color="auto"/>
              <w:right w:val="single" w:sz="4" w:space="0" w:color="auto"/>
            </w:tcBorders>
            <w:shd w:val="clear" w:color="auto" w:fill="auto"/>
            <w:noWrap/>
          </w:tcPr>
          <w:p w14:paraId="2D635A72" w14:textId="77777777" w:rsidR="009C218C" w:rsidRPr="007620D0" w:rsidRDefault="009C218C" w:rsidP="00705436">
            <w:pPr>
              <w:spacing w:after="0" w:line="240" w:lineRule="auto"/>
              <w:ind w:left="-51"/>
              <w:rPr>
                <w:rFonts w:ascii="Georgia" w:eastAsia="Times New Roman" w:hAnsi="Georgia" w:cs="Calibri"/>
                <w:bCs/>
                <w:color w:val="000000"/>
                <w:sz w:val="18"/>
                <w:szCs w:val="18"/>
              </w:rPr>
            </w:pPr>
            <w:r w:rsidRPr="007620D0">
              <w:rPr>
                <w:rFonts w:ascii="Georgia" w:eastAsia="Times New Roman" w:hAnsi="Georgia" w:cs="Calibri"/>
                <w:bCs/>
                <w:color w:val="000000"/>
                <w:sz w:val="18"/>
                <w:szCs w:val="18"/>
              </w:rPr>
              <w:t>1.5%</w:t>
            </w:r>
          </w:p>
        </w:tc>
        <w:tc>
          <w:tcPr>
            <w:tcW w:w="481" w:type="pct"/>
            <w:tcBorders>
              <w:top w:val="nil"/>
              <w:left w:val="nil"/>
              <w:bottom w:val="single" w:sz="4" w:space="0" w:color="auto"/>
              <w:right w:val="single" w:sz="4" w:space="0" w:color="auto"/>
            </w:tcBorders>
            <w:shd w:val="clear" w:color="auto" w:fill="auto"/>
            <w:noWrap/>
          </w:tcPr>
          <w:p w14:paraId="57918A19" w14:textId="77777777" w:rsidR="009C218C" w:rsidRPr="007620D0" w:rsidRDefault="009C218C" w:rsidP="00705436">
            <w:pPr>
              <w:spacing w:after="0" w:line="240" w:lineRule="auto"/>
              <w:ind w:left="-51"/>
              <w:rPr>
                <w:rFonts w:ascii="Georgia" w:eastAsia="Times New Roman" w:hAnsi="Georgia" w:cs="Calibri"/>
                <w:bCs/>
                <w:color w:val="000000"/>
                <w:sz w:val="18"/>
                <w:szCs w:val="18"/>
              </w:rPr>
            </w:pPr>
            <w:r w:rsidRPr="007620D0">
              <w:rPr>
                <w:rFonts w:ascii="Georgia" w:eastAsia="Times New Roman" w:hAnsi="Georgia" w:cs="Calibri"/>
                <w:bCs/>
                <w:color w:val="000000"/>
                <w:sz w:val="18"/>
                <w:szCs w:val="18"/>
              </w:rPr>
              <w:t>1.15</w:t>
            </w:r>
          </w:p>
        </w:tc>
        <w:tc>
          <w:tcPr>
            <w:tcW w:w="461" w:type="pct"/>
            <w:tcBorders>
              <w:top w:val="nil"/>
              <w:left w:val="nil"/>
              <w:bottom w:val="single" w:sz="4" w:space="0" w:color="auto"/>
              <w:right w:val="single" w:sz="4" w:space="0" w:color="auto"/>
            </w:tcBorders>
            <w:shd w:val="clear" w:color="auto" w:fill="auto"/>
            <w:noWrap/>
          </w:tcPr>
          <w:p w14:paraId="056BD440" w14:textId="77777777" w:rsidR="009C218C" w:rsidRPr="007620D0" w:rsidRDefault="009C218C" w:rsidP="00705436">
            <w:pPr>
              <w:spacing w:after="0" w:line="240" w:lineRule="auto"/>
              <w:ind w:left="-51"/>
              <w:rPr>
                <w:rFonts w:ascii="Georgia" w:eastAsia="Times New Roman" w:hAnsi="Georgia" w:cs="Calibri"/>
                <w:bCs/>
                <w:color w:val="000000"/>
                <w:sz w:val="18"/>
                <w:szCs w:val="18"/>
              </w:rPr>
            </w:pPr>
            <w:r w:rsidRPr="007620D0">
              <w:rPr>
                <w:rFonts w:ascii="Georgia" w:eastAsia="Times New Roman" w:hAnsi="Georgia" w:cs="Calibri"/>
                <w:bCs/>
                <w:color w:val="000000"/>
                <w:sz w:val="18"/>
                <w:szCs w:val="18"/>
              </w:rPr>
              <w:t>9.86</w:t>
            </w:r>
          </w:p>
        </w:tc>
        <w:tc>
          <w:tcPr>
            <w:tcW w:w="439" w:type="pct"/>
            <w:tcBorders>
              <w:top w:val="nil"/>
              <w:left w:val="nil"/>
              <w:bottom w:val="single" w:sz="4" w:space="0" w:color="auto"/>
              <w:right w:val="single" w:sz="4" w:space="0" w:color="auto"/>
            </w:tcBorders>
            <w:shd w:val="clear" w:color="auto" w:fill="auto"/>
            <w:noWrap/>
          </w:tcPr>
          <w:p w14:paraId="14BA55B2" w14:textId="0E147AA6" w:rsidR="009C218C" w:rsidRPr="009C218C" w:rsidRDefault="009C218C" w:rsidP="00705436">
            <w:pPr>
              <w:spacing w:after="0" w:line="240" w:lineRule="auto"/>
              <w:ind w:left="-51"/>
              <w:rPr>
                <w:rFonts w:ascii="Georgia" w:hAnsi="Georgia"/>
                <w:sz w:val="20"/>
                <w:szCs w:val="18"/>
              </w:rPr>
            </w:pPr>
            <w:r w:rsidRPr="009C218C">
              <w:rPr>
                <w:rFonts w:ascii="Georgia" w:hAnsi="Georgia"/>
                <w:color w:val="000000"/>
                <w:sz w:val="20"/>
              </w:rPr>
              <w:t>3.69</w:t>
            </w:r>
          </w:p>
        </w:tc>
        <w:tc>
          <w:tcPr>
            <w:tcW w:w="407" w:type="pct"/>
            <w:tcBorders>
              <w:top w:val="nil"/>
              <w:left w:val="nil"/>
              <w:bottom w:val="single" w:sz="4" w:space="0" w:color="auto"/>
              <w:right w:val="single" w:sz="4" w:space="0" w:color="auto"/>
            </w:tcBorders>
            <w:shd w:val="clear" w:color="auto" w:fill="auto"/>
            <w:noWrap/>
          </w:tcPr>
          <w:p w14:paraId="4B765B37" w14:textId="42B1D7FE" w:rsidR="009C218C" w:rsidRPr="009C218C" w:rsidRDefault="009C218C" w:rsidP="00705436">
            <w:pPr>
              <w:spacing w:after="0" w:line="240" w:lineRule="auto"/>
              <w:ind w:left="-51"/>
              <w:rPr>
                <w:rFonts w:ascii="Georgia" w:eastAsia="Times New Roman" w:hAnsi="Georgia" w:cs="Calibri"/>
                <w:bCs/>
                <w:color w:val="000000"/>
                <w:sz w:val="20"/>
                <w:szCs w:val="18"/>
              </w:rPr>
            </w:pPr>
            <w:r w:rsidRPr="009C218C">
              <w:rPr>
                <w:rFonts w:ascii="Georgia" w:hAnsi="Georgia"/>
                <w:color w:val="000000"/>
                <w:sz w:val="20"/>
              </w:rPr>
              <w:t>0.049</w:t>
            </w:r>
          </w:p>
        </w:tc>
        <w:tc>
          <w:tcPr>
            <w:tcW w:w="430" w:type="pct"/>
            <w:tcBorders>
              <w:top w:val="nil"/>
              <w:left w:val="nil"/>
              <w:bottom w:val="single" w:sz="4" w:space="0" w:color="auto"/>
              <w:right w:val="single" w:sz="4" w:space="0" w:color="auto"/>
            </w:tcBorders>
            <w:shd w:val="clear" w:color="auto" w:fill="auto"/>
            <w:noWrap/>
          </w:tcPr>
          <w:p w14:paraId="169626BF" w14:textId="3BB81320" w:rsidR="009C218C" w:rsidRPr="009C218C" w:rsidRDefault="009C218C" w:rsidP="00705436">
            <w:pPr>
              <w:ind w:left="-51"/>
              <w:rPr>
                <w:rFonts w:ascii="Georgia" w:hAnsi="Georgia"/>
                <w:color w:val="000000"/>
                <w:sz w:val="20"/>
                <w:szCs w:val="18"/>
              </w:rPr>
            </w:pPr>
            <w:r w:rsidRPr="009C218C">
              <w:rPr>
                <w:rFonts w:ascii="Georgia" w:hAnsi="Georgia"/>
                <w:color w:val="000000"/>
                <w:sz w:val="20"/>
              </w:rPr>
              <w:t>3.64</w:t>
            </w:r>
          </w:p>
        </w:tc>
      </w:tr>
      <w:tr w:rsidR="009C218C" w:rsidRPr="007620D0" w14:paraId="5CB8F51F" w14:textId="77777777" w:rsidTr="00705436">
        <w:trPr>
          <w:trHeight w:val="230"/>
        </w:trPr>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9A7DF" w14:textId="77777777" w:rsidR="009C218C" w:rsidRPr="007620D0" w:rsidRDefault="009C218C" w:rsidP="00E01791">
            <w:pPr>
              <w:spacing w:after="0" w:line="240" w:lineRule="auto"/>
              <w:rPr>
                <w:rFonts w:ascii="Georgia" w:eastAsia="Times New Roman" w:hAnsi="Georgia" w:cs="Calibri"/>
                <w:color w:val="000000"/>
                <w:sz w:val="18"/>
                <w:szCs w:val="18"/>
              </w:rPr>
            </w:pPr>
          </w:p>
        </w:tc>
        <w:tc>
          <w:tcPr>
            <w:tcW w:w="776" w:type="pct"/>
            <w:tcBorders>
              <w:top w:val="single" w:sz="4" w:space="0" w:color="auto"/>
              <w:left w:val="nil"/>
              <w:bottom w:val="single" w:sz="4" w:space="0" w:color="auto"/>
              <w:right w:val="single" w:sz="4" w:space="0" w:color="auto"/>
            </w:tcBorders>
            <w:shd w:val="clear" w:color="auto" w:fill="auto"/>
            <w:noWrap/>
          </w:tcPr>
          <w:p w14:paraId="6939BD7F" w14:textId="77777777" w:rsidR="009C218C" w:rsidRPr="007620D0" w:rsidRDefault="009C218C" w:rsidP="00E01791">
            <w:pPr>
              <w:spacing w:after="0" w:line="240" w:lineRule="auto"/>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Total</w:t>
            </w:r>
          </w:p>
        </w:tc>
        <w:tc>
          <w:tcPr>
            <w:tcW w:w="488" w:type="pct"/>
            <w:tcBorders>
              <w:top w:val="single" w:sz="4" w:space="0" w:color="auto"/>
              <w:left w:val="nil"/>
              <w:bottom w:val="single" w:sz="4" w:space="0" w:color="auto"/>
              <w:right w:val="single" w:sz="4" w:space="0" w:color="auto"/>
            </w:tcBorders>
            <w:shd w:val="clear" w:color="auto" w:fill="auto"/>
            <w:noWrap/>
          </w:tcPr>
          <w:p w14:paraId="6727A6C6" w14:textId="77777777" w:rsidR="009C218C" w:rsidRPr="007620D0" w:rsidRDefault="009C218C" w:rsidP="00705436">
            <w:pPr>
              <w:spacing w:after="0" w:line="240" w:lineRule="auto"/>
              <w:ind w:left="-51"/>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1284.24</w:t>
            </w:r>
          </w:p>
        </w:tc>
        <w:tc>
          <w:tcPr>
            <w:tcW w:w="366" w:type="pct"/>
            <w:tcBorders>
              <w:top w:val="single" w:sz="4" w:space="0" w:color="auto"/>
              <w:left w:val="nil"/>
              <w:bottom w:val="single" w:sz="4" w:space="0" w:color="auto"/>
              <w:right w:val="single" w:sz="4" w:space="0" w:color="auto"/>
            </w:tcBorders>
            <w:shd w:val="clear" w:color="auto" w:fill="auto"/>
            <w:noWrap/>
          </w:tcPr>
          <w:p w14:paraId="7735DA82" w14:textId="77777777" w:rsidR="009C218C" w:rsidRPr="007620D0" w:rsidRDefault="009C218C" w:rsidP="00705436">
            <w:pPr>
              <w:spacing w:after="0" w:line="240" w:lineRule="auto"/>
              <w:ind w:left="-51"/>
              <w:rPr>
                <w:rFonts w:ascii="Georgia" w:eastAsia="Times New Roman" w:hAnsi="Georgia" w:cs="Calibri"/>
                <w:b/>
                <w:bCs/>
                <w:color w:val="000000"/>
                <w:sz w:val="18"/>
                <w:szCs w:val="18"/>
              </w:rPr>
            </w:pPr>
          </w:p>
        </w:tc>
        <w:tc>
          <w:tcPr>
            <w:tcW w:w="366" w:type="pct"/>
            <w:tcBorders>
              <w:top w:val="single" w:sz="4" w:space="0" w:color="auto"/>
              <w:left w:val="nil"/>
              <w:bottom w:val="single" w:sz="4" w:space="0" w:color="auto"/>
              <w:right w:val="single" w:sz="4" w:space="0" w:color="auto"/>
            </w:tcBorders>
            <w:shd w:val="clear" w:color="auto" w:fill="auto"/>
            <w:noWrap/>
          </w:tcPr>
          <w:p w14:paraId="680CB299" w14:textId="77777777" w:rsidR="009C218C" w:rsidRPr="007620D0" w:rsidRDefault="009C218C" w:rsidP="00705436">
            <w:pPr>
              <w:spacing w:after="0" w:line="240" w:lineRule="auto"/>
              <w:ind w:left="-51"/>
              <w:rPr>
                <w:rFonts w:ascii="Georgia" w:eastAsia="Times New Roman" w:hAnsi="Georgia" w:cs="Calibri"/>
                <w:b/>
                <w:bCs/>
                <w:color w:val="000000"/>
                <w:sz w:val="18"/>
                <w:szCs w:val="18"/>
              </w:rPr>
            </w:pPr>
          </w:p>
        </w:tc>
        <w:tc>
          <w:tcPr>
            <w:tcW w:w="519" w:type="pct"/>
            <w:tcBorders>
              <w:top w:val="single" w:sz="4" w:space="0" w:color="auto"/>
              <w:left w:val="nil"/>
              <w:bottom w:val="single" w:sz="4" w:space="0" w:color="auto"/>
              <w:right w:val="single" w:sz="4" w:space="0" w:color="auto"/>
            </w:tcBorders>
            <w:shd w:val="clear" w:color="auto" w:fill="auto"/>
            <w:noWrap/>
          </w:tcPr>
          <w:p w14:paraId="4A2C7DB6" w14:textId="77777777" w:rsidR="009C218C" w:rsidRPr="007620D0" w:rsidRDefault="009C218C" w:rsidP="00705436">
            <w:pPr>
              <w:spacing w:after="0" w:line="240" w:lineRule="auto"/>
              <w:ind w:left="-51"/>
              <w:rPr>
                <w:rFonts w:ascii="Georgia" w:eastAsia="Times New Roman" w:hAnsi="Georgia" w:cs="Calibri"/>
                <w:b/>
                <w:bCs/>
                <w:color w:val="000000"/>
                <w:sz w:val="18"/>
                <w:szCs w:val="18"/>
              </w:rPr>
            </w:pPr>
          </w:p>
        </w:tc>
        <w:tc>
          <w:tcPr>
            <w:tcW w:w="481" w:type="pct"/>
            <w:tcBorders>
              <w:top w:val="single" w:sz="4" w:space="0" w:color="auto"/>
              <w:left w:val="nil"/>
              <w:bottom w:val="single" w:sz="4" w:space="0" w:color="auto"/>
              <w:right w:val="single" w:sz="4" w:space="0" w:color="auto"/>
            </w:tcBorders>
            <w:shd w:val="clear" w:color="auto" w:fill="auto"/>
            <w:noWrap/>
          </w:tcPr>
          <w:p w14:paraId="27DF78B3" w14:textId="77777777" w:rsidR="009C218C" w:rsidRPr="007620D0" w:rsidRDefault="009C218C" w:rsidP="00705436">
            <w:pPr>
              <w:spacing w:after="0" w:line="240" w:lineRule="auto"/>
              <w:ind w:left="-51"/>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19.21</w:t>
            </w:r>
          </w:p>
        </w:tc>
        <w:tc>
          <w:tcPr>
            <w:tcW w:w="461" w:type="pct"/>
            <w:tcBorders>
              <w:top w:val="single" w:sz="4" w:space="0" w:color="auto"/>
              <w:left w:val="nil"/>
              <w:bottom w:val="single" w:sz="4" w:space="0" w:color="auto"/>
              <w:right w:val="single" w:sz="4" w:space="0" w:color="auto"/>
            </w:tcBorders>
            <w:shd w:val="clear" w:color="auto" w:fill="auto"/>
            <w:noWrap/>
          </w:tcPr>
          <w:p w14:paraId="43262CBD" w14:textId="77777777" w:rsidR="009C218C" w:rsidRPr="007620D0" w:rsidRDefault="009C218C" w:rsidP="00705436">
            <w:pPr>
              <w:spacing w:after="0" w:line="240" w:lineRule="auto"/>
              <w:ind w:left="-51"/>
              <w:rPr>
                <w:rFonts w:ascii="Georgia" w:eastAsia="Times New Roman" w:hAnsi="Georgia" w:cs="Calibri"/>
                <w:b/>
                <w:bCs/>
                <w:color w:val="000000"/>
                <w:sz w:val="18"/>
                <w:szCs w:val="18"/>
              </w:rPr>
            </w:pPr>
            <w:r w:rsidRPr="007620D0">
              <w:rPr>
                <w:rFonts w:ascii="Georgia" w:eastAsia="Times New Roman" w:hAnsi="Georgia" w:cs="Calibri"/>
                <w:b/>
                <w:bCs/>
                <w:color w:val="000000"/>
                <w:sz w:val="18"/>
                <w:szCs w:val="18"/>
              </w:rPr>
              <w:t>1265.04</w:t>
            </w:r>
          </w:p>
        </w:tc>
        <w:tc>
          <w:tcPr>
            <w:tcW w:w="439" w:type="pct"/>
            <w:tcBorders>
              <w:top w:val="single" w:sz="4" w:space="0" w:color="auto"/>
              <w:left w:val="nil"/>
              <w:bottom w:val="single" w:sz="4" w:space="0" w:color="auto"/>
              <w:right w:val="single" w:sz="4" w:space="0" w:color="auto"/>
            </w:tcBorders>
            <w:shd w:val="clear" w:color="auto" w:fill="auto"/>
            <w:noWrap/>
          </w:tcPr>
          <w:p w14:paraId="2A8F33F7" w14:textId="1FC28306" w:rsidR="009C218C" w:rsidRPr="009C218C" w:rsidRDefault="009C218C" w:rsidP="00705436">
            <w:pPr>
              <w:spacing w:after="0" w:line="240" w:lineRule="auto"/>
              <w:ind w:left="-51"/>
              <w:rPr>
                <w:rFonts w:ascii="Georgia" w:hAnsi="Georgia"/>
                <w:b/>
                <w:sz w:val="20"/>
                <w:szCs w:val="18"/>
              </w:rPr>
            </w:pPr>
            <w:r w:rsidRPr="009C218C">
              <w:rPr>
                <w:rFonts w:ascii="Georgia" w:hAnsi="Georgia"/>
                <w:color w:val="000000"/>
                <w:sz w:val="20"/>
              </w:rPr>
              <w:t>1237.79</w:t>
            </w:r>
          </w:p>
        </w:tc>
        <w:tc>
          <w:tcPr>
            <w:tcW w:w="407" w:type="pct"/>
            <w:tcBorders>
              <w:top w:val="single" w:sz="4" w:space="0" w:color="auto"/>
              <w:left w:val="nil"/>
              <w:bottom w:val="single" w:sz="4" w:space="0" w:color="auto"/>
              <w:right w:val="single" w:sz="4" w:space="0" w:color="auto"/>
            </w:tcBorders>
            <w:shd w:val="clear" w:color="auto" w:fill="auto"/>
            <w:noWrap/>
          </w:tcPr>
          <w:p w14:paraId="52C95462" w14:textId="04295334" w:rsidR="009C218C" w:rsidRPr="009C218C" w:rsidRDefault="009C218C" w:rsidP="00705436">
            <w:pPr>
              <w:spacing w:after="0" w:line="240" w:lineRule="auto"/>
              <w:ind w:left="-51"/>
              <w:rPr>
                <w:rFonts w:ascii="Georgia" w:eastAsia="Times New Roman" w:hAnsi="Georgia" w:cs="Calibri"/>
                <w:b/>
                <w:bCs/>
                <w:color w:val="000000"/>
                <w:sz w:val="20"/>
                <w:szCs w:val="18"/>
              </w:rPr>
            </w:pPr>
            <w:r w:rsidRPr="009C218C">
              <w:rPr>
                <w:rFonts w:ascii="Georgia" w:hAnsi="Georgia"/>
                <w:color w:val="000000"/>
                <w:sz w:val="20"/>
              </w:rPr>
              <w:t>8.559</w:t>
            </w:r>
          </w:p>
        </w:tc>
        <w:tc>
          <w:tcPr>
            <w:tcW w:w="430" w:type="pct"/>
            <w:tcBorders>
              <w:top w:val="single" w:sz="4" w:space="0" w:color="auto"/>
              <w:left w:val="nil"/>
              <w:bottom w:val="single" w:sz="4" w:space="0" w:color="auto"/>
              <w:right w:val="single" w:sz="4" w:space="0" w:color="auto"/>
            </w:tcBorders>
            <w:shd w:val="clear" w:color="auto" w:fill="auto"/>
            <w:noWrap/>
          </w:tcPr>
          <w:p w14:paraId="10B722A6" w14:textId="40699316" w:rsidR="009C218C" w:rsidRPr="009C218C" w:rsidRDefault="009C218C" w:rsidP="00705436">
            <w:pPr>
              <w:ind w:left="-51"/>
              <w:rPr>
                <w:rFonts w:ascii="Georgia" w:hAnsi="Georgia"/>
                <w:b/>
                <w:bCs/>
                <w:color w:val="000000"/>
                <w:sz w:val="20"/>
                <w:szCs w:val="18"/>
              </w:rPr>
            </w:pPr>
            <w:r w:rsidRPr="009C218C">
              <w:rPr>
                <w:rFonts w:ascii="Georgia" w:hAnsi="Georgia"/>
                <w:color w:val="000000"/>
                <w:sz w:val="20"/>
              </w:rPr>
              <w:t>1229.23</w:t>
            </w:r>
          </w:p>
        </w:tc>
      </w:tr>
    </w:tbl>
    <w:p w14:paraId="3EA096A8" w14:textId="77777777" w:rsidR="00E01791" w:rsidRDefault="00E01791" w:rsidP="00E01791">
      <w:pPr>
        <w:spacing w:after="0"/>
        <w:ind w:left="284"/>
        <w:jc w:val="both"/>
        <w:rPr>
          <w:rFonts w:ascii="Georgia" w:hAnsi="Georgia"/>
          <w:sz w:val="20"/>
          <w:szCs w:val="20"/>
        </w:rPr>
      </w:pPr>
    </w:p>
    <w:p w14:paraId="6D10D407" w14:textId="77777777" w:rsidR="00923E81" w:rsidRPr="008675CA" w:rsidRDefault="00923E81" w:rsidP="00372DCD">
      <w:pPr>
        <w:rPr>
          <w:rFonts w:asciiTheme="majorHAnsi" w:hAnsiTheme="majorHAnsi"/>
        </w:rPr>
        <w:sectPr w:rsidR="00923E81" w:rsidRPr="008675CA" w:rsidSect="00705436">
          <w:pgSz w:w="11906" w:h="16838" w:code="9"/>
          <w:pgMar w:top="1440" w:right="1440" w:bottom="1440" w:left="1440" w:header="720" w:footer="720" w:gutter="0"/>
          <w:cols w:space="720"/>
          <w:docGrid w:linePitch="360"/>
        </w:sectPr>
      </w:pPr>
    </w:p>
    <w:p w14:paraId="39A30FEC" w14:textId="77777777" w:rsidR="00372DCD" w:rsidRPr="008675CA" w:rsidRDefault="00372DCD" w:rsidP="00372DCD">
      <w:pPr>
        <w:pStyle w:val="head1"/>
        <w:rPr>
          <w:rFonts w:asciiTheme="majorHAnsi" w:hAnsiTheme="majorHAnsi"/>
        </w:rPr>
      </w:pPr>
      <w:bookmarkStart w:id="45" w:name="_Toc102318558"/>
      <w:bookmarkEnd w:id="42"/>
      <w:bookmarkEnd w:id="43"/>
      <w:bookmarkEnd w:id="44"/>
      <w:r w:rsidRPr="008675CA">
        <w:rPr>
          <w:rFonts w:asciiTheme="majorHAnsi" w:hAnsiTheme="majorHAnsi"/>
        </w:rPr>
        <w:lastRenderedPageBreak/>
        <w:t xml:space="preserve">2.0. </w:t>
      </w:r>
      <w:r w:rsidR="00DA77FC" w:rsidRPr="008675CA">
        <w:rPr>
          <w:rFonts w:asciiTheme="majorHAnsi" w:hAnsiTheme="majorHAnsi"/>
        </w:rPr>
        <w:t xml:space="preserve">Review of True Up Order for FY </w:t>
      </w:r>
      <w:bookmarkStart w:id="46" w:name="_Toc102318559"/>
      <w:bookmarkEnd w:id="45"/>
      <w:r w:rsidR="00227597" w:rsidRPr="008675CA">
        <w:rPr>
          <w:rFonts w:asciiTheme="majorHAnsi" w:hAnsiTheme="majorHAnsi"/>
        </w:rPr>
        <w:t>2020-21</w:t>
      </w:r>
    </w:p>
    <w:p w14:paraId="3FA6A27B" w14:textId="77777777" w:rsidR="00DA77FC" w:rsidRPr="008675CA" w:rsidRDefault="00372DCD" w:rsidP="00372DCD">
      <w:pPr>
        <w:pStyle w:val="head1"/>
        <w:rPr>
          <w:rFonts w:asciiTheme="majorHAnsi" w:hAnsiTheme="majorHAnsi"/>
        </w:rPr>
      </w:pPr>
      <w:r w:rsidRPr="008675CA">
        <w:rPr>
          <w:rFonts w:asciiTheme="majorHAnsi" w:hAnsiTheme="majorHAnsi"/>
        </w:rPr>
        <w:t xml:space="preserve">2.1 </w:t>
      </w:r>
      <w:r w:rsidR="00DA77FC" w:rsidRPr="008675CA">
        <w:rPr>
          <w:rFonts w:asciiTheme="majorHAnsi" w:hAnsiTheme="majorHAnsi"/>
        </w:rPr>
        <w:t>Separate Petitions for Generating Stations</w:t>
      </w:r>
      <w:bookmarkEnd w:id="46"/>
    </w:p>
    <w:p w14:paraId="76B4290A" w14:textId="77777777" w:rsidR="00DA77FC" w:rsidRPr="008675CA" w:rsidRDefault="00DA77FC" w:rsidP="00DA77FC">
      <w:pPr>
        <w:ind w:left="360"/>
        <w:jc w:val="both"/>
        <w:rPr>
          <w:rFonts w:asciiTheme="majorHAnsi" w:hAnsiTheme="majorHAnsi"/>
        </w:rPr>
      </w:pPr>
      <w:r w:rsidRPr="008675CA">
        <w:rPr>
          <w:rFonts w:asciiTheme="majorHAnsi" w:hAnsiTheme="majorHAnsi"/>
          <w:b/>
        </w:rPr>
        <w:t>Clause 41.2</w:t>
      </w:r>
      <w:r w:rsidRPr="008675CA">
        <w:rPr>
          <w:rFonts w:asciiTheme="majorHAnsi" w:hAnsiTheme="majorHAnsi"/>
        </w:rPr>
        <w:t xml:space="preserve"> of the Regulations states that </w:t>
      </w:r>
    </w:p>
    <w:p w14:paraId="78975519" w14:textId="77777777" w:rsidR="00DA77FC" w:rsidRPr="008675CA" w:rsidRDefault="00DA77FC" w:rsidP="00DA77FC">
      <w:pPr>
        <w:spacing w:after="0"/>
        <w:ind w:left="360"/>
        <w:jc w:val="both"/>
        <w:rPr>
          <w:rFonts w:asciiTheme="majorHAnsi" w:hAnsiTheme="majorHAnsi"/>
          <w:i/>
        </w:rPr>
      </w:pPr>
      <w:r w:rsidRPr="008675CA">
        <w:rPr>
          <w:rFonts w:asciiTheme="majorHAnsi" w:hAnsiTheme="majorHAnsi"/>
          <w:i/>
        </w:rPr>
        <w:t>“Tariff in respect of a Generating Station under these Regulations may be determined Stage-wise, Unit-wise or for the whole Generating Station. The terms and conditions for determination of tariff for Generating Stations specified in this Part shall apply in like manner to Stages or Units, as the case may be, as to Generating Stations”</w:t>
      </w:r>
    </w:p>
    <w:p w14:paraId="60A892A5" w14:textId="77777777" w:rsidR="00DA77FC" w:rsidRPr="008675CA" w:rsidRDefault="00DA77FC" w:rsidP="00DA77FC">
      <w:pPr>
        <w:spacing w:after="0"/>
        <w:ind w:left="360"/>
        <w:jc w:val="both"/>
        <w:rPr>
          <w:rFonts w:asciiTheme="majorHAnsi" w:hAnsiTheme="majorHAnsi"/>
        </w:rPr>
      </w:pPr>
    </w:p>
    <w:p w14:paraId="3E0EB9CE" w14:textId="77777777" w:rsidR="00DA77FC" w:rsidRPr="008675CA" w:rsidRDefault="00DA77FC" w:rsidP="00DA77FC">
      <w:pPr>
        <w:spacing w:after="0"/>
        <w:ind w:left="360"/>
        <w:jc w:val="both"/>
        <w:rPr>
          <w:rFonts w:asciiTheme="majorHAnsi" w:hAnsiTheme="majorHAnsi"/>
        </w:rPr>
      </w:pPr>
      <w:r w:rsidRPr="008675CA">
        <w:rPr>
          <w:rFonts w:asciiTheme="majorHAnsi" w:hAnsiTheme="majorHAnsi"/>
        </w:rPr>
        <w:t xml:space="preserve">As per the recent tariff orders as well as the applicable regulations, MePGCL needs to file separate petitions for the different generating plants or stations. In accordance with the directives of the Hon’ble Commission and MSERC Tariff Regulations 2014, MePGCL had filed separately true up gap claims for </w:t>
      </w:r>
    </w:p>
    <w:p w14:paraId="55FAE2F6" w14:textId="77777777" w:rsidR="00DA77FC" w:rsidRPr="008675CA" w:rsidRDefault="00DA77FC" w:rsidP="00F20961">
      <w:pPr>
        <w:pStyle w:val="ListParagraph"/>
        <w:numPr>
          <w:ilvl w:val="0"/>
          <w:numId w:val="40"/>
        </w:numPr>
        <w:jc w:val="both"/>
        <w:rPr>
          <w:rFonts w:asciiTheme="majorHAnsi" w:hAnsiTheme="majorHAnsi"/>
          <w:szCs w:val="22"/>
        </w:rPr>
      </w:pPr>
      <w:r w:rsidRPr="008675CA">
        <w:rPr>
          <w:rFonts w:asciiTheme="majorHAnsi" w:hAnsiTheme="majorHAnsi"/>
          <w:szCs w:val="22"/>
        </w:rPr>
        <w:t xml:space="preserve">Myntdu-Leshka Power plant. </w:t>
      </w:r>
    </w:p>
    <w:p w14:paraId="14E1CA04" w14:textId="77777777" w:rsidR="00DA77FC" w:rsidRPr="008675CA" w:rsidRDefault="00DA77FC" w:rsidP="00F20961">
      <w:pPr>
        <w:pStyle w:val="ListParagraph"/>
        <w:numPr>
          <w:ilvl w:val="0"/>
          <w:numId w:val="40"/>
        </w:numPr>
        <w:jc w:val="both"/>
        <w:rPr>
          <w:rFonts w:asciiTheme="majorHAnsi" w:hAnsiTheme="majorHAnsi"/>
          <w:szCs w:val="22"/>
        </w:rPr>
      </w:pPr>
      <w:r w:rsidRPr="008675CA">
        <w:rPr>
          <w:rFonts w:asciiTheme="majorHAnsi" w:hAnsiTheme="majorHAnsi"/>
          <w:szCs w:val="22"/>
        </w:rPr>
        <w:t>New Umtru Power Plant</w:t>
      </w:r>
    </w:p>
    <w:p w14:paraId="350FBC58" w14:textId="77777777" w:rsidR="00DA77FC" w:rsidRPr="008675CA" w:rsidRDefault="00DA77FC" w:rsidP="00F20961">
      <w:pPr>
        <w:pStyle w:val="ListParagraph"/>
        <w:numPr>
          <w:ilvl w:val="0"/>
          <w:numId w:val="40"/>
        </w:numPr>
        <w:ind w:left="900" w:hanging="540"/>
        <w:jc w:val="both"/>
        <w:rPr>
          <w:rFonts w:asciiTheme="majorHAnsi" w:hAnsiTheme="majorHAnsi"/>
          <w:szCs w:val="22"/>
        </w:rPr>
      </w:pPr>
      <w:r w:rsidRPr="008675CA">
        <w:rPr>
          <w:rFonts w:asciiTheme="majorHAnsi" w:hAnsiTheme="majorHAnsi"/>
          <w:szCs w:val="22"/>
        </w:rPr>
        <w:t>Lakroh MHP</w:t>
      </w:r>
    </w:p>
    <w:p w14:paraId="37B93AFC" w14:textId="77777777" w:rsidR="00DA77FC" w:rsidRPr="008675CA" w:rsidRDefault="00DA77FC" w:rsidP="00F20961">
      <w:pPr>
        <w:pStyle w:val="ListParagraph"/>
        <w:numPr>
          <w:ilvl w:val="0"/>
          <w:numId w:val="40"/>
        </w:numPr>
        <w:ind w:left="900" w:hanging="540"/>
        <w:jc w:val="both"/>
        <w:rPr>
          <w:rFonts w:asciiTheme="majorHAnsi" w:hAnsiTheme="majorHAnsi"/>
          <w:szCs w:val="22"/>
        </w:rPr>
      </w:pPr>
      <w:r w:rsidRPr="008675CA">
        <w:rPr>
          <w:rFonts w:asciiTheme="majorHAnsi" w:hAnsiTheme="majorHAnsi"/>
          <w:szCs w:val="22"/>
        </w:rPr>
        <w:t>Old plants (including Sonapani)</w:t>
      </w:r>
    </w:p>
    <w:p w14:paraId="5818A62B" w14:textId="77777777" w:rsidR="00DA77FC" w:rsidRPr="008675CA" w:rsidRDefault="00DA77FC" w:rsidP="00DA77FC">
      <w:pPr>
        <w:pStyle w:val="ListParagraph"/>
        <w:ind w:left="900"/>
        <w:jc w:val="both"/>
        <w:rPr>
          <w:rFonts w:asciiTheme="majorHAnsi" w:hAnsiTheme="majorHAnsi"/>
          <w:szCs w:val="22"/>
        </w:rPr>
      </w:pPr>
    </w:p>
    <w:p w14:paraId="44ABAA8B" w14:textId="77777777" w:rsidR="00DA77FC" w:rsidRPr="008675CA" w:rsidRDefault="00DA77FC" w:rsidP="00DA77FC">
      <w:pPr>
        <w:spacing w:after="0"/>
        <w:ind w:left="360"/>
        <w:jc w:val="both"/>
        <w:rPr>
          <w:rFonts w:asciiTheme="majorHAnsi" w:hAnsiTheme="majorHAnsi"/>
        </w:rPr>
      </w:pPr>
      <w:r w:rsidRPr="008675CA">
        <w:rPr>
          <w:rFonts w:asciiTheme="majorHAnsi" w:hAnsiTheme="majorHAnsi"/>
        </w:rPr>
        <w:t>Due to unavailability of segregated accounts for old plants which were commissioned way back in the 1950’s and 1960’s, MePGCL filed a combined petition for all the old plants (including</w:t>
      </w:r>
      <w:r w:rsidR="00D741C8" w:rsidRPr="008675CA">
        <w:rPr>
          <w:rFonts w:asciiTheme="majorHAnsi" w:hAnsiTheme="majorHAnsi"/>
        </w:rPr>
        <w:t xml:space="preserve"> </w:t>
      </w:r>
      <w:r w:rsidRPr="008675CA">
        <w:rPr>
          <w:rFonts w:asciiTheme="majorHAnsi" w:hAnsiTheme="majorHAnsi"/>
        </w:rPr>
        <w:t>Sonapani) in accordance with the accepted precedent of filing as followed in the past.</w:t>
      </w:r>
    </w:p>
    <w:p w14:paraId="08BA780E" w14:textId="77777777" w:rsidR="00DA77FC" w:rsidRPr="008675CA" w:rsidRDefault="00DA77FC" w:rsidP="00DA77FC">
      <w:pPr>
        <w:spacing w:after="0"/>
        <w:ind w:left="360"/>
        <w:jc w:val="both"/>
        <w:rPr>
          <w:rFonts w:asciiTheme="majorHAnsi" w:hAnsiTheme="majorHAnsi"/>
        </w:rPr>
      </w:pPr>
    </w:p>
    <w:p w14:paraId="749C7797" w14:textId="77777777" w:rsidR="00DA77FC" w:rsidRPr="008675CA" w:rsidRDefault="00372DCD" w:rsidP="00372DCD">
      <w:pPr>
        <w:pStyle w:val="head2"/>
        <w:spacing w:before="0"/>
        <w:ind w:left="60" w:firstLine="0"/>
        <w:rPr>
          <w:rFonts w:asciiTheme="majorHAnsi" w:hAnsiTheme="majorHAnsi"/>
          <w:b w:val="0"/>
        </w:rPr>
      </w:pPr>
      <w:bookmarkStart w:id="47" w:name="_Toc102318560"/>
      <w:r w:rsidRPr="008675CA">
        <w:rPr>
          <w:rFonts w:asciiTheme="majorHAnsi" w:hAnsiTheme="majorHAnsi"/>
        </w:rPr>
        <w:t>2.2</w:t>
      </w:r>
      <w:r w:rsidR="00D741C8" w:rsidRPr="008675CA">
        <w:rPr>
          <w:rFonts w:asciiTheme="majorHAnsi" w:hAnsiTheme="majorHAnsi"/>
        </w:rPr>
        <w:t xml:space="preserve"> </w:t>
      </w:r>
      <w:r w:rsidR="00DA77FC" w:rsidRPr="008675CA">
        <w:rPr>
          <w:rFonts w:asciiTheme="majorHAnsi" w:hAnsiTheme="majorHAnsi"/>
        </w:rPr>
        <w:t>REVIEW OF TRUE UP ORDER FOR MLHEP</w:t>
      </w:r>
      <w:bookmarkEnd w:id="47"/>
    </w:p>
    <w:p w14:paraId="31A4D923" w14:textId="77777777" w:rsidR="00DA77FC" w:rsidRDefault="00372DCD" w:rsidP="00F12881">
      <w:pPr>
        <w:pStyle w:val="Style3"/>
      </w:pPr>
      <w:r w:rsidRPr="008675CA">
        <w:t>2</w:t>
      </w:r>
      <w:r w:rsidR="00F20961" w:rsidRPr="008675CA">
        <w:t>.2.1</w:t>
      </w:r>
      <w:r w:rsidR="00DA77FC" w:rsidRPr="008675CA">
        <w:t>.</w:t>
      </w:r>
      <w:r w:rsidR="00DA77FC" w:rsidRPr="008675CA">
        <w:tab/>
        <w:t>Depreciation</w:t>
      </w:r>
    </w:p>
    <w:p w14:paraId="1C2AE22B" w14:textId="77777777" w:rsidR="007C46EE" w:rsidRPr="007C46EE" w:rsidRDefault="007C46EE" w:rsidP="00F12881">
      <w:pPr>
        <w:pStyle w:val="Style3"/>
      </w:pPr>
    </w:p>
    <w:p w14:paraId="343345EB" w14:textId="77777777" w:rsidR="00DA77FC" w:rsidRPr="008675CA" w:rsidRDefault="00DA77FC" w:rsidP="00DA77FC">
      <w:pPr>
        <w:spacing w:after="0"/>
        <w:ind w:left="360"/>
        <w:jc w:val="both"/>
        <w:rPr>
          <w:rFonts w:asciiTheme="majorHAnsi" w:hAnsiTheme="majorHAnsi"/>
        </w:rPr>
      </w:pPr>
      <w:r w:rsidRPr="008675CA">
        <w:rPr>
          <w:rFonts w:asciiTheme="majorHAnsi" w:hAnsiTheme="majorHAnsi"/>
        </w:rPr>
        <w:t>MePGCL has used the asset- wise breakup as per the audited accounts and their corresponding rates for computation of depreciation.</w:t>
      </w:r>
      <w:r w:rsidR="00336A2C" w:rsidRPr="008675CA">
        <w:rPr>
          <w:rFonts w:asciiTheme="majorHAnsi" w:hAnsiTheme="majorHAnsi"/>
        </w:rPr>
        <w:t xml:space="preserve"> </w:t>
      </w:r>
      <w:r w:rsidRPr="008675CA">
        <w:rPr>
          <w:rFonts w:asciiTheme="majorHAnsi" w:hAnsiTheme="majorHAnsi"/>
        </w:rPr>
        <w:t>The methodology used is in line with the MSERC Regulations.</w:t>
      </w:r>
    </w:p>
    <w:p w14:paraId="2E0E07FD" w14:textId="77777777" w:rsidR="00E552AD" w:rsidRPr="008675CA" w:rsidRDefault="00E552AD" w:rsidP="00DA77FC">
      <w:pPr>
        <w:spacing w:after="0"/>
        <w:ind w:left="360"/>
        <w:jc w:val="both"/>
        <w:rPr>
          <w:rFonts w:asciiTheme="majorHAnsi" w:hAnsiTheme="majorHAnsi"/>
        </w:rPr>
      </w:pPr>
    </w:p>
    <w:p w14:paraId="6B55308D" w14:textId="77777777" w:rsidR="00E552AD" w:rsidRPr="008675CA" w:rsidRDefault="00E552AD" w:rsidP="00DA77FC">
      <w:pPr>
        <w:spacing w:after="0"/>
        <w:ind w:left="360"/>
        <w:jc w:val="both"/>
        <w:rPr>
          <w:rFonts w:asciiTheme="majorHAnsi" w:hAnsiTheme="majorHAnsi"/>
          <w:i/>
        </w:rPr>
      </w:pPr>
      <w:r w:rsidRPr="008675CA">
        <w:rPr>
          <w:rFonts w:asciiTheme="majorHAnsi" w:hAnsiTheme="majorHAnsi"/>
          <w:i/>
        </w:rPr>
        <w:t xml:space="preserve">The Hon’ble Commission </w:t>
      </w:r>
      <w:r w:rsidR="008F24E3" w:rsidRPr="008675CA">
        <w:rPr>
          <w:rFonts w:asciiTheme="majorHAnsi" w:hAnsiTheme="majorHAnsi"/>
          <w:i/>
        </w:rPr>
        <w:t>in its order consider</w:t>
      </w:r>
      <w:r w:rsidR="00DE0BDB" w:rsidRPr="008675CA">
        <w:rPr>
          <w:rFonts w:asciiTheme="majorHAnsi" w:hAnsiTheme="majorHAnsi"/>
          <w:i/>
        </w:rPr>
        <w:t xml:space="preserve">s that the Govt. </w:t>
      </w:r>
      <w:r w:rsidR="008F24E3" w:rsidRPr="008675CA">
        <w:rPr>
          <w:rFonts w:asciiTheme="majorHAnsi" w:hAnsiTheme="majorHAnsi"/>
          <w:i/>
        </w:rPr>
        <w:t>Grants and Capital subsidies (public money) provided to the generation utility shall not be left unaccounted in the process of Tariff determination (True up).</w:t>
      </w:r>
    </w:p>
    <w:p w14:paraId="3E34818A" w14:textId="77777777" w:rsidR="008F24E3" w:rsidRPr="006B51B9" w:rsidRDefault="008F24E3" w:rsidP="00DA77FC">
      <w:pPr>
        <w:spacing w:after="0"/>
        <w:ind w:left="360"/>
        <w:jc w:val="both"/>
        <w:rPr>
          <w:rFonts w:asciiTheme="majorHAnsi" w:hAnsiTheme="majorHAnsi"/>
        </w:rPr>
      </w:pPr>
    </w:p>
    <w:p w14:paraId="7F5A6FC2" w14:textId="062981A3" w:rsidR="001658E9" w:rsidRPr="006B51B9" w:rsidRDefault="008F24E3" w:rsidP="00DA77FC">
      <w:pPr>
        <w:spacing w:after="0"/>
        <w:ind w:left="360"/>
        <w:jc w:val="both"/>
        <w:rPr>
          <w:rFonts w:asciiTheme="majorHAnsi" w:hAnsiTheme="majorHAnsi"/>
        </w:rPr>
      </w:pPr>
      <w:r w:rsidRPr="006B51B9">
        <w:rPr>
          <w:rFonts w:asciiTheme="majorHAnsi" w:hAnsiTheme="majorHAnsi"/>
        </w:rPr>
        <w:t xml:space="preserve">The </w:t>
      </w:r>
      <w:r w:rsidR="00550B1D" w:rsidRPr="006B51B9">
        <w:rPr>
          <w:rFonts w:asciiTheme="majorHAnsi" w:hAnsiTheme="majorHAnsi"/>
        </w:rPr>
        <w:t>Hon’ble Commission has considere</w:t>
      </w:r>
      <w:r w:rsidRPr="006B51B9">
        <w:rPr>
          <w:rFonts w:asciiTheme="majorHAnsi" w:hAnsiTheme="majorHAnsi"/>
        </w:rPr>
        <w:t>d</w:t>
      </w:r>
      <w:r w:rsidR="00550B1D" w:rsidRPr="006B51B9">
        <w:rPr>
          <w:rFonts w:asciiTheme="majorHAnsi" w:hAnsiTheme="majorHAnsi"/>
        </w:rPr>
        <w:t xml:space="preserve"> </w:t>
      </w:r>
      <w:r w:rsidR="003443BD" w:rsidRPr="006B51B9">
        <w:rPr>
          <w:rFonts w:asciiTheme="majorHAnsi" w:hAnsiTheme="majorHAnsi"/>
        </w:rPr>
        <w:t xml:space="preserve">as Grant </w:t>
      </w:r>
      <w:r w:rsidR="00550B1D" w:rsidRPr="006B51B9">
        <w:rPr>
          <w:rFonts w:asciiTheme="majorHAnsi" w:hAnsiTheme="majorHAnsi"/>
        </w:rPr>
        <w:t>the</w:t>
      </w:r>
      <w:r w:rsidRPr="006B51B9">
        <w:rPr>
          <w:rFonts w:asciiTheme="majorHAnsi" w:hAnsiTheme="majorHAnsi"/>
        </w:rPr>
        <w:t xml:space="preserve"> </w:t>
      </w:r>
      <w:r w:rsidR="00550B1D" w:rsidRPr="006B51B9">
        <w:rPr>
          <w:rFonts w:asciiTheme="majorHAnsi" w:hAnsiTheme="majorHAnsi"/>
        </w:rPr>
        <w:t>amount of</w:t>
      </w:r>
      <w:r w:rsidR="001658E9" w:rsidRPr="006B51B9">
        <w:rPr>
          <w:rFonts w:asciiTheme="majorHAnsi" w:hAnsiTheme="majorHAnsi"/>
        </w:rPr>
        <w:t xml:space="preserve"> Rs. 5.59 crore</w:t>
      </w:r>
      <w:r w:rsidR="00550B1D" w:rsidRPr="006B51B9">
        <w:rPr>
          <w:rFonts w:asciiTheme="majorHAnsi" w:hAnsiTheme="majorHAnsi"/>
        </w:rPr>
        <w:t>,</w:t>
      </w:r>
      <w:r w:rsidR="001658E9" w:rsidRPr="006B51B9">
        <w:rPr>
          <w:rFonts w:asciiTheme="majorHAnsi" w:hAnsiTheme="majorHAnsi"/>
        </w:rPr>
        <w:t xml:space="preserve"> </w:t>
      </w:r>
      <w:r w:rsidR="00550B1D" w:rsidRPr="006B51B9">
        <w:rPr>
          <w:rFonts w:asciiTheme="majorHAnsi" w:hAnsiTheme="majorHAnsi"/>
        </w:rPr>
        <w:t xml:space="preserve">towards </w:t>
      </w:r>
      <w:r w:rsidR="001658E9" w:rsidRPr="006B51B9">
        <w:rPr>
          <w:rFonts w:asciiTheme="majorHAnsi" w:hAnsiTheme="majorHAnsi"/>
        </w:rPr>
        <w:t>survey &amp; investigation and preparation of DPRs in respect of five upcoming Hydel Projects</w:t>
      </w:r>
      <w:r w:rsidR="003443BD" w:rsidRPr="006B51B9">
        <w:rPr>
          <w:rFonts w:asciiTheme="majorHAnsi" w:hAnsiTheme="majorHAnsi"/>
        </w:rPr>
        <w:t>. This amount</w:t>
      </w:r>
      <w:r w:rsidR="00550B1D" w:rsidRPr="006B51B9">
        <w:rPr>
          <w:rFonts w:asciiTheme="majorHAnsi" w:hAnsiTheme="majorHAnsi"/>
        </w:rPr>
        <w:t xml:space="preserve"> has been </w:t>
      </w:r>
      <w:r w:rsidR="001658E9" w:rsidRPr="006B51B9">
        <w:rPr>
          <w:rFonts w:asciiTheme="majorHAnsi" w:hAnsiTheme="majorHAnsi"/>
        </w:rPr>
        <w:t xml:space="preserve">disclosed </w:t>
      </w:r>
      <w:r w:rsidR="003443BD" w:rsidRPr="006B51B9">
        <w:rPr>
          <w:rFonts w:asciiTheme="majorHAnsi" w:hAnsiTheme="majorHAnsi"/>
        </w:rPr>
        <w:t xml:space="preserve">in the SOA (Note 15.2) Grant towards </w:t>
      </w:r>
      <w:r w:rsidR="0052759B" w:rsidRPr="006B51B9">
        <w:rPr>
          <w:rFonts w:asciiTheme="majorHAnsi" w:hAnsiTheme="majorHAnsi"/>
        </w:rPr>
        <w:t xml:space="preserve">cost of capital assets (State Govt.) </w:t>
      </w:r>
      <w:r w:rsidR="001658E9" w:rsidRPr="006B51B9">
        <w:rPr>
          <w:rFonts w:asciiTheme="majorHAnsi" w:hAnsiTheme="majorHAnsi"/>
        </w:rPr>
        <w:t>converted into equity share pending allotment during FY 2020-21</w:t>
      </w:r>
      <w:r w:rsidR="003443BD" w:rsidRPr="006B51B9">
        <w:rPr>
          <w:rFonts w:asciiTheme="majorHAnsi" w:hAnsiTheme="majorHAnsi"/>
        </w:rPr>
        <w:t xml:space="preserve"> in line with the Notification of Govt. of Meghalaya No. POWER-101/2014/190 Dated 24.03.2015. The Notification had stated that all grants received under SPA, SCA, NEC &amp; NLCPR as Equity and accordingly the above amount has been treated as equity. It is therefore, prayed that the Hon’ble Commission consider reviewing this and treating this amount as equity. </w:t>
      </w:r>
      <w:r w:rsidR="006B51B9" w:rsidRPr="006B51B9">
        <w:rPr>
          <w:rFonts w:asciiTheme="majorHAnsi" w:hAnsiTheme="majorHAnsi"/>
        </w:rPr>
        <w:t>Further</w:t>
      </w:r>
      <w:r w:rsidR="003443BD" w:rsidRPr="006B51B9">
        <w:rPr>
          <w:rFonts w:asciiTheme="majorHAnsi" w:hAnsiTheme="majorHAnsi"/>
        </w:rPr>
        <w:t xml:space="preserve">, since the amount is for survey &amp; investigation works, it is felt that that considering this amount in the tariff of MLHEP </w:t>
      </w:r>
      <w:r w:rsidR="001658E9" w:rsidRPr="006B51B9">
        <w:rPr>
          <w:rFonts w:asciiTheme="majorHAnsi" w:hAnsiTheme="majorHAnsi"/>
          <w:bCs/>
        </w:rPr>
        <w:t>not correct and review on this is needed.</w:t>
      </w:r>
      <w:r w:rsidR="001658E9" w:rsidRPr="006B51B9">
        <w:rPr>
          <w:rFonts w:asciiTheme="majorHAnsi" w:hAnsiTheme="majorHAnsi"/>
        </w:rPr>
        <w:t xml:space="preserve"> </w:t>
      </w:r>
    </w:p>
    <w:p w14:paraId="4B7E6381" w14:textId="77777777" w:rsidR="001658E9" w:rsidRPr="008675CA" w:rsidRDefault="001658E9" w:rsidP="00DA77FC">
      <w:pPr>
        <w:spacing w:after="0"/>
        <w:ind w:left="360"/>
        <w:jc w:val="both"/>
        <w:rPr>
          <w:rFonts w:asciiTheme="majorHAnsi" w:hAnsiTheme="majorHAnsi"/>
        </w:rPr>
      </w:pPr>
    </w:p>
    <w:p w14:paraId="4ABC39C8" w14:textId="6D89E558" w:rsidR="008F24E3" w:rsidRDefault="008F2F36" w:rsidP="00DA77FC">
      <w:pPr>
        <w:spacing w:after="0"/>
        <w:ind w:left="360"/>
        <w:jc w:val="both"/>
        <w:rPr>
          <w:rFonts w:asciiTheme="majorHAnsi" w:hAnsiTheme="majorHAnsi"/>
        </w:rPr>
      </w:pPr>
      <w:r>
        <w:rPr>
          <w:rFonts w:asciiTheme="majorHAnsi" w:hAnsiTheme="majorHAnsi"/>
        </w:rPr>
        <w:t>MSERC had sought t</w:t>
      </w:r>
      <w:r w:rsidR="0052759B" w:rsidRPr="008675CA">
        <w:rPr>
          <w:rFonts w:asciiTheme="majorHAnsi" w:hAnsiTheme="majorHAnsi"/>
        </w:rPr>
        <w:t xml:space="preserve">he details of grants </w:t>
      </w:r>
      <w:r>
        <w:rPr>
          <w:rFonts w:asciiTheme="majorHAnsi" w:hAnsiTheme="majorHAnsi"/>
        </w:rPr>
        <w:t xml:space="preserve">shown </w:t>
      </w:r>
      <w:r w:rsidR="0052759B" w:rsidRPr="008675CA">
        <w:rPr>
          <w:rFonts w:asciiTheme="majorHAnsi" w:hAnsiTheme="majorHAnsi"/>
        </w:rPr>
        <w:t>at</w:t>
      </w:r>
      <w:r w:rsidR="001658E9" w:rsidRPr="008675CA">
        <w:rPr>
          <w:rFonts w:asciiTheme="majorHAnsi" w:hAnsiTheme="majorHAnsi"/>
        </w:rPr>
        <w:t xml:space="preserve"> note </w:t>
      </w:r>
      <w:r w:rsidR="001658E9" w:rsidRPr="008675CA">
        <w:rPr>
          <w:rFonts w:asciiTheme="majorHAnsi" w:hAnsiTheme="majorHAnsi"/>
          <w:b/>
        </w:rPr>
        <w:t xml:space="preserve">17.1 </w:t>
      </w:r>
      <w:r w:rsidR="00A646B1" w:rsidRPr="008675CA">
        <w:rPr>
          <w:rFonts w:asciiTheme="majorHAnsi" w:hAnsiTheme="majorHAnsi"/>
          <w:b/>
        </w:rPr>
        <w:t>“</w:t>
      </w:r>
      <w:r w:rsidR="0052759B" w:rsidRPr="008675CA">
        <w:rPr>
          <w:rFonts w:asciiTheme="majorHAnsi" w:hAnsiTheme="majorHAnsi"/>
          <w:b/>
        </w:rPr>
        <w:t>Details of movement in</w:t>
      </w:r>
      <w:r w:rsidR="00A646B1" w:rsidRPr="008675CA">
        <w:rPr>
          <w:rFonts w:asciiTheme="majorHAnsi" w:hAnsiTheme="majorHAnsi"/>
          <w:b/>
        </w:rPr>
        <w:t xml:space="preserve"> </w:t>
      </w:r>
      <w:r w:rsidR="0052759B" w:rsidRPr="008675CA">
        <w:rPr>
          <w:rFonts w:asciiTheme="majorHAnsi" w:hAnsiTheme="majorHAnsi"/>
          <w:b/>
        </w:rPr>
        <w:t>G</w:t>
      </w:r>
      <w:r w:rsidR="00A646B1" w:rsidRPr="008675CA">
        <w:rPr>
          <w:rFonts w:asciiTheme="majorHAnsi" w:hAnsiTheme="majorHAnsi"/>
          <w:b/>
        </w:rPr>
        <w:t>rant</w:t>
      </w:r>
      <w:r w:rsidR="0052759B" w:rsidRPr="008675CA">
        <w:rPr>
          <w:rFonts w:asciiTheme="majorHAnsi" w:hAnsiTheme="majorHAnsi"/>
          <w:b/>
        </w:rPr>
        <w:t xml:space="preserve"> and Subsidies</w:t>
      </w:r>
      <w:r w:rsidR="00A646B1" w:rsidRPr="008675CA">
        <w:rPr>
          <w:rFonts w:asciiTheme="majorHAnsi" w:hAnsiTheme="majorHAnsi"/>
          <w:b/>
        </w:rPr>
        <w:t>”</w:t>
      </w:r>
      <w:r w:rsidR="00A646B1" w:rsidRPr="008675CA">
        <w:rPr>
          <w:rFonts w:asciiTheme="majorHAnsi" w:hAnsiTheme="majorHAnsi"/>
        </w:rPr>
        <w:t xml:space="preserve"> </w:t>
      </w:r>
      <w:r w:rsidR="001658E9" w:rsidRPr="008675CA">
        <w:rPr>
          <w:rFonts w:asciiTheme="majorHAnsi" w:hAnsiTheme="majorHAnsi"/>
        </w:rPr>
        <w:t>of SoA</w:t>
      </w:r>
      <w:r>
        <w:rPr>
          <w:rFonts w:asciiTheme="majorHAnsi" w:hAnsiTheme="majorHAnsi"/>
        </w:rPr>
        <w:t xml:space="preserve">, </w:t>
      </w:r>
      <w:r w:rsidR="00A646B1" w:rsidRPr="008675CA">
        <w:rPr>
          <w:rFonts w:asciiTheme="majorHAnsi" w:hAnsiTheme="majorHAnsi"/>
        </w:rPr>
        <w:t>amounting to Rs. 179.</w:t>
      </w:r>
      <w:r w:rsidR="0052759B" w:rsidRPr="008675CA">
        <w:rPr>
          <w:rFonts w:asciiTheme="majorHAnsi" w:hAnsiTheme="majorHAnsi"/>
        </w:rPr>
        <w:t>03</w:t>
      </w:r>
      <w:r w:rsidR="00A646B1" w:rsidRPr="008675CA">
        <w:rPr>
          <w:rFonts w:asciiTheme="majorHAnsi" w:hAnsiTheme="majorHAnsi"/>
        </w:rPr>
        <w:t xml:space="preserve"> crore</w:t>
      </w:r>
      <w:r>
        <w:rPr>
          <w:rFonts w:asciiTheme="majorHAnsi" w:hAnsiTheme="majorHAnsi"/>
        </w:rPr>
        <w:t>. The same</w:t>
      </w:r>
      <w:r w:rsidR="0052759B" w:rsidRPr="008675CA">
        <w:rPr>
          <w:rFonts w:asciiTheme="majorHAnsi" w:hAnsiTheme="majorHAnsi"/>
        </w:rPr>
        <w:t xml:space="preserve"> is given at table below:-</w:t>
      </w:r>
    </w:p>
    <w:p w14:paraId="0266E5E7" w14:textId="77777777" w:rsidR="007D745E" w:rsidRDefault="007D745E" w:rsidP="007D745E">
      <w:pPr>
        <w:spacing w:after="0" w:line="240" w:lineRule="auto"/>
        <w:jc w:val="center"/>
        <w:rPr>
          <w:rFonts w:ascii="Times New Roman" w:eastAsia="Times New Roman" w:hAnsi="Times New Roman" w:cs="Times New Roman"/>
          <w:b/>
          <w:bCs/>
          <w:color w:val="000000"/>
          <w:lang w:val="en-IN" w:eastAsia="en-IN"/>
        </w:rPr>
      </w:pPr>
      <w:r>
        <w:rPr>
          <w:rFonts w:ascii="Times New Roman" w:eastAsia="Times New Roman" w:hAnsi="Times New Roman" w:cs="Times New Roman"/>
          <w:b/>
          <w:bCs/>
          <w:color w:val="000000"/>
          <w:lang w:val="en-IN" w:eastAsia="en-IN"/>
        </w:rPr>
        <w:lastRenderedPageBreak/>
        <w:t xml:space="preserve">Table 1: </w:t>
      </w:r>
      <w:r w:rsidRPr="007D745E">
        <w:rPr>
          <w:rFonts w:ascii="Times New Roman" w:eastAsia="Times New Roman" w:hAnsi="Times New Roman" w:cs="Times New Roman"/>
          <w:b/>
          <w:bCs/>
          <w:color w:val="000000"/>
          <w:lang w:val="en-IN" w:eastAsia="en-IN"/>
        </w:rPr>
        <w:t>Details of Grants</w:t>
      </w:r>
      <w:r>
        <w:rPr>
          <w:rFonts w:ascii="Times New Roman" w:eastAsia="Times New Roman" w:hAnsi="Times New Roman" w:cs="Times New Roman"/>
          <w:b/>
          <w:bCs/>
          <w:color w:val="000000"/>
          <w:lang w:val="en-IN" w:eastAsia="en-IN"/>
        </w:rPr>
        <w:t xml:space="preserve"> of MePGCL as on 31st March 2021</w:t>
      </w:r>
    </w:p>
    <w:p w14:paraId="408E8E75" w14:textId="77777777" w:rsidR="007C46EE" w:rsidRPr="00705436" w:rsidRDefault="007C46EE" w:rsidP="007D745E">
      <w:pPr>
        <w:spacing w:after="0" w:line="240" w:lineRule="auto"/>
        <w:jc w:val="center"/>
        <w:rPr>
          <w:rFonts w:ascii="Times New Roman" w:eastAsia="Times New Roman" w:hAnsi="Times New Roman" w:cs="Times New Roman"/>
          <w:b/>
          <w:bCs/>
          <w:color w:val="000000"/>
          <w:sz w:val="14"/>
          <w:lang w:val="en-IN" w:eastAsia="en-IN"/>
        </w:rPr>
      </w:pPr>
    </w:p>
    <w:tbl>
      <w:tblPr>
        <w:tblW w:w="8736" w:type="dxa"/>
        <w:tblInd w:w="817" w:type="dxa"/>
        <w:tblLook w:val="04A0" w:firstRow="1" w:lastRow="0" w:firstColumn="1" w:lastColumn="0" w:noHBand="0" w:noVBand="1"/>
      </w:tblPr>
      <w:tblGrid>
        <w:gridCol w:w="1559"/>
        <w:gridCol w:w="5529"/>
        <w:gridCol w:w="1903"/>
      </w:tblGrid>
      <w:tr w:rsidR="007D745E" w:rsidRPr="007C46EE" w14:paraId="0BDBD500" w14:textId="77777777" w:rsidTr="007D745E">
        <w:trPr>
          <w:trHeight w:val="300"/>
        </w:trPr>
        <w:tc>
          <w:tcPr>
            <w:tcW w:w="1559" w:type="dxa"/>
            <w:tcBorders>
              <w:top w:val="single" w:sz="4" w:space="0" w:color="auto"/>
              <w:left w:val="single" w:sz="4" w:space="0" w:color="auto"/>
              <w:bottom w:val="single" w:sz="4" w:space="0" w:color="000000"/>
              <w:right w:val="single" w:sz="4" w:space="0" w:color="auto"/>
            </w:tcBorders>
            <w:shd w:val="clear" w:color="auto" w:fill="auto"/>
            <w:noWrap/>
            <w:vAlign w:val="center"/>
          </w:tcPr>
          <w:p w14:paraId="37FBF98C" w14:textId="77777777" w:rsidR="007D745E" w:rsidRPr="007C46EE" w:rsidRDefault="007D745E" w:rsidP="007C46EE">
            <w:pPr>
              <w:spacing w:after="0" w:line="276" w:lineRule="auto"/>
              <w:jc w:val="center"/>
              <w:rPr>
                <w:rFonts w:asciiTheme="majorHAnsi" w:eastAsia="Times New Roman" w:hAnsiTheme="majorHAnsi" w:cs="Times New Roman"/>
                <w:b/>
                <w:color w:val="000000"/>
                <w:lang w:val="en-IN" w:eastAsia="en-IN"/>
              </w:rPr>
            </w:pPr>
            <w:r w:rsidRPr="007C46EE">
              <w:rPr>
                <w:rFonts w:asciiTheme="majorHAnsi" w:eastAsia="Times New Roman" w:hAnsiTheme="majorHAnsi" w:cs="Times New Roman"/>
                <w:b/>
                <w:color w:val="000000"/>
                <w:lang w:val="en-IN" w:eastAsia="en-IN"/>
              </w:rPr>
              <w:t>FY</w:t>
            </w:r>
          </w:p>
        </w:tc>
        <w:tc>
          <w:tcPr>
            <w:tcW w:w="5529" w:type="dxa"/>
            <w:tcBorders>
              <w:top w:val="single" w:sz="4" w:space="0" w:color="auto"/>
              <w:left w:val="nil"/>
              <w:bottom w:val="single" w:sz="4" w:space="0" w:color="auto"/>
              <w:right w:val="single" w:sz="4" w:space="0" w:color="auto"/>
            </w:tcBorders>
            <w:shd w:val="clear" w:color="auto" w:fill="auto"/>
            <w:noWrap/>
            <w:vAlign w:val="bottom"/>
          </w:tcPr>
          <w:p w14:paraId="58A12E93" w14:textId="77777777" w:rsidR="007D745E" w:rsidRPr="007C46EE" w:rsidRDefault="007D745E" w:rsidP="007C46EE">
            <w:pPr>
              <w:spacing w:after="0" w:line="276" w:lineRule="auto"/>
              <w:rPr>
                <w:rFonts w:asciiTheme="majorHAnsi" w:eastAsia="Times New Roman" w:hAnsiTheme="majorHAnsi" w:cs="Times New Roman"/>
                <w:b/>
                <w:color w:val="000000"/>
                <w:lang w:val="en-IN" w:eastAsia="en-IN"/>
              </w:rPr>
            </w:pPr>
            <w:r w:rsidRPr="007C46EE">
              <w:rPr>
                <w:rFonts w:asciiTheme="majorHAnsi" w:eastAsia="Times New Roman" w:hAnsiTheme="majorHAnsi" w:cs="Times New Roman"/>
                <w:b/>
                <w:color w:val="000000"/>
                <w:lang w:val="en-IN" w:eastAsia="en-IN"/>
              </w:rPr>
              <w:t>Details</w:t>
            </w:r>
          </w:p>
        </w:tc>
        <w:tc>
          <w:tcPr>
            <w:tcW w:w="1648" w:type="dxa"/>
            <w:tcBorders>
              <w:top w:val="single" w:sz="4" w:space="0" w:color="auto"/>
              <w:left w:val="nil"/>
              <w:bottom w:val="single" w:sz="4" w:space="0" w:color="auto"/>
              <w:right w:val="single" w:sz="4" w:space="0" w:color="auto"/>
            </w:tcBorders>
            <w:shd w:val="clear" w:color="auto" w:fill="auto"/>
            <w:noWrap/>
            <w:vAlign w:val="bottom"/>
          </w:tcPr>
          <w:p w14:paraId="3A849884" w14:textId="77777777" w:rsidR="007D745E" w:rsidRPr="007C46EE" w:rsidRDefault="007D745E" w:rsidP="007C46EE">
            <w:pPr>
              <w:spacing w:after="0" w:line="276" w:lineRule="auto"/>
              <w:jc w:val="right"/>
              <w:rPr>
                <w:rFonts w:asciiTheme="majorHAnsi" w:eastAsia="Times New Roman" w:hAnsiTheme="majorHAnsi" w:cs="Times New Roman"/>
                <w:b/>
                <w:color w:val="000000"/>
                <w:lang w:val="en-IN" w:eastAsia="en-IN"/>
              </w:rPr>
            </w:pPr>
            <w:r w:rsidRPr="007C46EE">
              <w:rPr>
                <w:rFonts w:asciiTheme="majorHAnsi" w:eastAsia="Times New Roman" w:hAnsiTheme="majorHAnsi" w:cs="Times New Roman"/>
                <w:b/>
                <w:color w:val="000000"/>
                <w:lang w:val="en-IN" w:eastAsia="en-IN"/>
              </w:rPr>
              <w:t>Amount (RS.)</w:t>
            </w:r>
          </w:p>
        </w:tc>
      </w:tr>
      <w:tr w:rsidR="007D745E" w:rsidRPr="007D745E" w14:paraId="421BF2D0" w14:textId="77777777" w:rsidTr="007D745E">
        <w:trPr>
          <w:trHeight w:val="300"/>
        </w:trPr>
        <w:tc>
          <w:tcPr>
            <w:tcW w:w="155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B871AB3" w14:textId="77777777" w:rsidR="007D745E" w:rsidRPr="007D745E" w:rsidRDefault="007D745E" w:rsidP="007C46EE">
            <w:pPr>
              <w:spacing w:after="0" w:line="276" w:lineRule="auto"/>
              <w:jc w:val="center"/>
              <w:rPr>
                <w:rFonts w:asciiTheme="majorHAnsi" w:eastAsia="Times New Roman" w:hAnsiTheme="majorHAnsi" w:cs="Times New Roman"/>
                <w:color w:val="000000"/>
                <w:lang w:val="en-IN" w:eastAsia="en-IN"/>
              </w:rPr>
            </w:pPr>
            <w:r w:rsidRPr="007D745E">
              <w:rPr>
                <w:rFonts w:asciiTheme="majorHAnsi" w:eastAsia="Times New Roman" w:hAnsiTheme="majorHAnsi" w:cs="Times New Roman"/>
                <w:color w:val="000000"/>
                <w:lang w:val="en-IN" w:eastAsia="en-IN"/>
              </w:rPr>
              <w:t>FY 2020-21</w:t>
            </w:r>
          </w:p>
        </w:tc>
        <w:tc>
          <w:tcPr>
            <w:tcW w:w="5529" w:type="dxa"/>
            <w:tcBorders>
              <w:top w:val="single" w:sz="4" w:space="0" w:color="auto"/>
              <w:left w:val="nil"/>
              <w:bottom w:val="single" w:sz="4" w:space="0" w:color="auto"/>
              <w:right w:val="single" w:sz="4" w:space="0" w:color="auto"/>
            </w:tcBorders>
            <w:shd w:val="clear" w:color="auto" w:fill="auto"/>
            <w:noWrap/>
            <w:vAlign w:val="bottom"/>
            <w:hideMark/>
          </w:tcPr>
          <w:p w14:paraId="5917F342" w14:textId="77777777" w:rsidR="007D745E" w:rsidRPr="007D745E" w:rsidRDefault="007D745E" w:rsidP="007C46EE">
            <w:pPr>
              <w:spacing w:after="0" w:line="276" w:lineRule="auto"/>
              <w:rPr>
                <w:rFonts w:asciiTheme="majorHAnsi" w:eastAsia="Times New Roman" w:hAnsiTheme="majorHAnsi" w:cs="Times New Roman"/>
                <w:color w:val="000000"/>
                <w:lang w:val="en-IN" w:eastAsia="en-IN"/>
              </w:rPr>
            </w:pPr>
            <w:r w:rsidRPr="007D745E">
              <w:rPr>
                <w:rFonts w:asciiTheme="majorHAnsi" w:eastAsia="Times New Roman" w:hAnsiTheme="majorHAnsi" w:cs="Times New Roman"/>
                <w:color w:val="000000"/>
                <w:lang w:val="en-IN" w:eastAsia="en-IN"/>
              </w:rPr>
              <w:t>PSDF Grant</w:t>
            </w:r>
          </w:p>
        </w:tc>
        <w:tc>
          <w:tcPr>
            <w:tcW w:w="1648" w:type="dxa"/>
            <w:tcBorders>
              <w:top w:val="single" w:sz="4" w:space="0" w:color="auto"/>
              <w:left w:val="nil"/>
              <w:bottom w:val="single" w:sz="4" w:space="0" w:color="auto"/>
              <w:right w:val="single" w:sz="4" w:space="0" w:color="auto"/>
            </w:tcBorders>
            <w:shd w:val="clear" w:color="auto" w:fill="auto"/>
            <w:noWrap/>
            <w:vAlign w:val="bottom"/>
            <w:hideMark/>
          </w:tcPr>
          <w:p w14:paraId="06DC0797" w14:textId="77777777" w:rsidR="007D745E" w:rsidRPr="007D745E" w:rsidRDefault="007D745E" w:rsidP="007C46EE">
            <w:pPr>
              <w:spacing w:after="0" w:line="276" w:lineRule="auto"/>
              <w:jc w:val="right"/>
              <w:rPr>
                <w:rFonts w:asciiTheme="majorHAnsi" w:eastAsia="Times New Roman" w:hAnsiTheme="majorHAnsi" w:cs="Times New Roman"/>
                <w:color w:val="000000"/>
                <w:lang w:val="en-IN" w:eastAsia="en-IN"/>
              </w:rPr>
            </w:pPr>
            <w:r w:rsidRPr="007D745E">
              <w:rPr>
                <w:rFonts w:asciiTheme="majorHAnsi" w:eastAsia="Times New Roman" w:hAnsiTheme="majorHAnsi" w:cs="Times New Roman"/>
                <w:color w:val="000000"/>
                <w:lang w:val="en-IN" w:eastAsia="en-IN"/>
              </w:rPr>
              <w:t>16667914.60</w:t>
            </w:r>
          </w:p>
        </w:tc>
      </w:tr>
      <w:tr w:rsidR="007D745E" w:rsidRPr="007D745E" w14:paraId="186B9209" w14:textId="77777777" w:rsidTr="007D745E">
        <w:trPr>
          <w:trHeight w:val="525"/>
        </w:trPr>
        <w:tc>
          <w:tcPr>
            <w:tcW w:w="1559" w:type="dxa"/>
            <w:vMerge/>
            <w:tcBorders>
              <w:top w:val="single" w:sz="4" w:space="0" w:color="auto"/>
              <w:left w:val="single" w:sz="4" w:space="0" w:color="auto"/>
              <w:bottom w:val="single" w:sz="4" w:space="0" w:color="000000"/>
              <w:right w:val="single" w:sz="4" w:space="0" w:color="auto"/>
            </w:tcBorders>
            <w:vAlign w:val="center"/>
            <w:hideMark/>
          </w:tcPr>
          <w:p w14:paraId="453EEFED" w14:textId="77777777" w:rsidR="007D745E" w:rsidRPr="007D745E" w:rsidRDefault="007D745E" w:rsidP="007C46EE">
            <w:pPr>
              <w:spacing w:after="0" w:line="276" w:lineRule="auto"/>
              <w:rPr>
                <w:rFonts w:asciiTheme="majorHAnsi" w:eastAsia="Times New Roman" w:hAnsiTheme="majorHAnsi" w:cs="Times New Roman"/>
                <w:color w:val="000000"/>
                <w:lang w:val="en-IN" w:eastAsia="en-IN"/>
              </w:rPr>
            </w:pPr>
          </w:p>
        </w:tc>
        <w:tc>
          <w:tcPr>
            <w:tcW w:w="5529" w:type="dxa"/>
            <w:tcBorders>
              <w:top w:val="nil"/>
              <w:left w:val="nil"/>
              <w:bottom w:val="single" w:sz="4" w:space="0" w:color="auto"/>
              <w:right w:val="single" w:sz="4" w:space="0" w:color="auto"/>
            </w:tcBorders>
            <w:shd w:val="clear" w:color="auto" w:fill="auto"/>
            <w:vAlign w:val="bottom"/>
            <w:hideMark/>
          </w:tcPr>
          <w:p w14:paraId="1A873330" w14:textId="3FDF4F93" w:rsidR="007D745E" w:rsidRPr="007D745E" w:rsidRDefault="008F2F36" w:rsidP="007C46EE">
            <w:pPr>
              <w:spacing w:after="0" w:line="276" w:lineRule="auto"/>
              <w:rPr>
                <w:rFonts w:asciiTheme="majorHAnsi" w:eastAsia="Times New Roman" w:hAnsiTheme="majorHAnsi" w:cs="Times New Roman"/>
                <w:color w:val="000000"/>
                <w:lang w:val="en-IN" w:eastAsia="en-IN"/>
              </w:rPr>
            </w:pPr>
            <w:r w:rsidRPr="007D745E">
              <w:rPr>
                <w:rFonts w:asciiTheme="majorHAnsi" w:eastAsia="Times New Roman" w:hAnsiTheme="majorHAnsi" w:cs="Times New Roman"/>
                <w:color w:val="000000"/>
                <w:lang w:val="en-IN" w:eastAsia="en-IN"/>
              </w:rPr>
              <w:t>Grant For Dam Rehabilitation and Improvement Project (DRIP) Phase I &amp; I</w:t>
            </w:r>
            <w:r>
              <w:rPr>
                <w:rFonts w:asciiTheme="majorHAnsi" w:eastAsia="Times New Roman" w:hAnsiTheme="majorHAnsi" w:cs="Times New Roman"/>
                <w:color w:val="000000"/>
                <w:lang w:val="en-IN" w:eastAsia="en-IN"/>
              </w:rPr>
              <w:t>I</w:t>
            </w:r>
          </w:p>
        </w:tc>
        <w:tc>
          <w:tcPr>
            <w:tcW w:w="1648" w:type="dxa"/>
            <w:tcBorders>
              <w:top w:val="nil"/>
              <w:left w:val="nil"/>
              <w:bottom w:val="single" w:sz="4" w:space="0" w:color="auto"/>
              <w:right w:val="single" w:sz="4" w:space="0" w:color="auto"/>
            </w:tcBorders>
            <w:shd w:val="clear" w:color="auto" w:fill="auto"/>
            <w:noWrap/>
            <w:vAlign w:val="center"/>
            <w:hideMark/>
          </w:tcPr>
          <w:p w14:paraId="4FC374FB" w14:textId="77777777" w:rsidR="007D745E" w:rsidRPr="007D745E" w:rsidRDefault="007D745E" w:rsidP="007C46EE">
            <w:pPr>
              <w:spacing w:after="0" w:line="276" w:lineRule="auto"/>
              <w:jc w:val="right"/>
              <w:rPr>
                <w:rFonts w:asciiTheme="majorHAnsi" w:eastAsia="Times New Roman" w:hAnsiTheme="majorHAnsi" w:cs="Times New Roman"/>
                <w:color w:val="000000"/>
                <w:lang w:val="en-IN" w:eastAsia="en-IN"/>
              </w:rPr>
            </w:pPr>
            <w:r w:rsidRPr="007D745E">
              <w:rPr>
                <w:rFonts w:asciiTheme="majorHAnsi" w:eastAsia="Times New Roman" w:hAnsiTheme="majorHAnsi" w:cs="Times New Roman"/>
                <w:color w:val="000000"/>
                <w:lang w:val="en-IN" w:eastAsia="en-IN"/>
              </w:rPr>
              <w:t>3986300.00</w:t>
            </w:r>
          </w:p>
        </w:tc>
      </w:tr>
      <w:tr w:rsidR="007D745E" w:rsidRPr="007D745E" w14:paraId="33EB3430" w14:textId="77777777" w:rsidTr="007D745E">
        <w:trPr>
          <w:trHeight w:val="300"/>
        </w:trPr>
        <w:tc>
          <w:tcPr>
            <w:tcW w:w="1559" w:type="dxa"/>
            <w:vMerge/>
            <w:tcBorders>
              <w:top w:val="single" w:sz="4" w:space="0" w:color="auto"/>
              <w:left w:val="single" w:sz="4" w:space="0" w:color="auto"/>
              <w:bottom w:val="single" w:sz="4" w:space="0" w:color="000000"/>
              <w:right w:val="single" w:sz="4" w:space="0" w:color="auto"/>
            </w:tcBorders>
            <w:vAlign w:val="center"/>
            <w:hideMark/>
          </w:tcPr>
          <w:p w14:paraId="71CE165E" w14:textId="77777777" w:rsidR="007D745E" w:rsidRPr="007D745E" w:rsidRDefault="007D745E" w:rsidP="007C46EE">
            <w:pPr>
              <w:spacing w:after="0" w:line="276" w:lineRule="auto"/>
              <w:rPr>
                <w:rFonts w:asciiTheme="majorHAnsi" w:eastAsia="Times New Roman" w:hAnsiTheme="majorHAnsi" w:cs="Times New Roman"/>
                <w:color w:val="000000"/>
                <w:lang w:val="en-IN" w:eastAsia="en-IN"/>
              </w:rPr>
            </w:pPr>
          </w:p>
        </w:tc>
        <w:tc>
          <w:tcPr>
            <w:tcW w:w="5529" w:type="dxa"/>
            <w:tcBorders>
              <w:top w:val="nil"/>
              <w:left w:val="nil"/>
              <w:bottom w:val="single" w:sz="4" w:space="0" w:color="auto"/>
              <w:right w:val="single" w:sz="4" w:space="0" w:color="auto"/>
            </w:tcBorders>
            <w:shd w:val="clear" w:color="auto" w:fill="auto"/>
            <w:noWrap/>
            <w:vAlign w:val="bottom"/>
            <w:hideMark/>
          </w:tcPr>
          <w:p w14:paraId="0A3D0FB5" w14:textId="4AC8C1CF" w:rsidR="007D745E" w:rsidRPr="007D745E" w:rsidRDefault="008F2F36" w:rsidP="007C46EE">
            <w:pPr>
              <w:spacing w:after="0" w:line="276" w:lineRule="auto"/>
              <w:rPr>
                <w:rFonts w:asciiTheme="majorHAnsi" w:eastAsia="Times New Roman" w:hAnsiTheme="majorHAnsi" w:cs="Times New Roman"/>
                <w:color w:val="000000"/>
                <w:lang w:val="en-IN" w:eastAsia="en-IN"/>
              </w:rPr>
            </w:pPr>
            <w:r w:rsidRPr="007D745E">
              <w:rPr>
                <w:rFonts w:asciiTheme="majorHAnsi" w:eastAsia="Times New Roman" w:hAnsiTheme="majorHAnsi" w:cs="Times New Roman"/>
                <w:color w:val="000000"/>
                <w:lang w:val="en-IN" w:eastAsia="en-IN"/>
              </w:rPr>
              <w:t xml:space="preserve">Grant for setting up of the </w:t>
            </w:r>
            <w:r>
              <w:rPr>
                <w:rFonts w:asciiTheme="majorHAnsi" w:eastAsia="Times New Roman" w:hAnsiTheme="majorHAnsi" w:cs="Times New Roman"/>
                <w:color w:val="000000"/>
                <w:lang w:val="en-IN" w:eastAsia="en-IN"/>
              </w:rPr>
              <w:t>D</w:t>
            </w:r>
            <w:r w:rsidRPr="007D745E">
              <w:rPr>
                <w:rFonts w:asciiTheme="majorHAnsi" w:eastAsia="Times New Roman" w:hAnsiTheme="majorHAnsi" w:cs="Times New Roman"/>
                <w:color w:val="000000"/>
                <w:lang w:val="en-IN" w:eastAsia="en-IN"/>
              </w:rPr>
              <w:t xml:space="preserve">am </w:t>
            </w:r>
            <w:r>
              <w:rPr>
                <w:rFonts w:asciiTheme="majorHAnsi" w:eastAsia="Times New Roman" w:hAnsiTheme="majorHAnsi" w:cs="Times New Roman"/>
                <w:color w:val="000000"/>
                <w:lang w:val="en-IN" w:eastAsia="en-IN"/>
              </w:rPr>
              <w:t>S</w:t>
            </w:r>
            <w:r w:rsidRPr="007D745E">
              <w:rPr>
                <w:rFonts w:asciiTheme="majorHAnsi" w:eastAsia="Times New Roman" w:hAnsiTheme="majorHAnsi" w:cs="Times New Roman"/>
                <w:color w:val="000000"/>
                <w:lang w:val="en-IN" w:eastAsia="en-IN"/>
              </w:rPr>
              <w:t xml:space="preserve">afety </w:t>
            </w:r>
            <w:r>
              <w:rPr>
                <w:rFonts w:asciiTheme="majorHAnsi" w:eastAsia="Times New Roman" w:hAnsiTheme="majorHAnsi" w:cs="Times New Roman"/>
                <w:color w:val="000000"/>
                <w:lang w:val="en-IN" w:eastAsia="en-IN"/>
              </w:rPr>
              <w:t>C</w:t>
            </w:r>
            <w:r w:rsidRPr="007D745E">
              <w:rPr>
                <w:rFonts w:asciiTheme="majorHAnsi" w:eastAsia="Times New Roman" w:hAnsiTheme="majorHAnsi" w:cs="Times New Roman"/>
                <w:color w:val="000000"/>
                <w:lang w:val="en-IN" w:eastAsia="en-IN"/>
              </w:rPr>
              <w:t>ell</w:t>
            </w:r>
          </w:p>
        </w:tc>
        <w:tc>
          <w:tcPr>
            <w:tcW w:w="1648" w:type="dxa"/>
            <w:tcBorders>
              <w:top w:val="nil"/>
              <w:left w:val="nil"/>
              <w:bottom w:val="single" w:sz="4" w:space="0" w:color="auto"/>
              <w:right w:val="single" w:sz="4" w:space="0" w:color="auto"/>
            </w:tcBorders>
            <w:shd w:val="clear" w:color="auto" w:fill="auto"/>
            <w:noWrap/>
            <w:vAlign w:val="bottom"/>
            <w:hideMark/>
          </w:tcPr>
          <w:p w14:paraId="63905A75" w14:textId="77777777" w:rsidR="007D745E" w:rsidRPr="007D745E" w:rsidRDefault="007D745E" w:rsidP="007C46EE">
            <w:pPr>
              <w:spacing w:after="0" w:line="276" w:lineRule="auto"/>
              <w:jc w:val="right"/>
              <w:rPr>
                <w:rFonts w:asciiTheme="majorHAnsi" w:eastAsia="Times New Roman" w:hAnsiTheme="majorHAnsi" w:cs="Times New Roman"/>
                <w:color w:val="000000"/>
                <w:lang w:val="en-IN" w:eastAsia="en-IN"/>
              </w:rPr>
            </w:pPr>
            <w:r w:rsidRPr="007D745E">
              <w:rPr>
                <w:rFonts w:asciiTheme="majorHAnsi" w:eastAsia="Times New Roman" w:hAnsiTheme="majorHAnsi" w:cs="Times New Roman"/>
                <w:color w:val="000000"/>
                <w:lang w:val="en-IN" w:eastAsia="en-IN"/>
              </w:rPr>
              <w:t>996000.00</w:t>
            </w:r>
          </w:p>
        </w:tc>
      </w:tr>
      <w:tr w:rsidR="007D745E" w:rsidRPr="007D745E" w14:paraId="1074DE5E" w14:textId="77777777" w:rsidTr="008F2F36">
        <w:trPr>
          <w:trHeight w:val="104"/>
        </w:trPr>
        <w:tc>
          <w:tcPr>
            <w:tcW w:w="1559" w:type="dxa"/>
            <w:vMerge/>
            <w:tcBorders>
              <w:top w:val="single" w:sz="4" w:space="0" w:color="auto"/>
              <w:left w:val="single" w:sz="4" w:space="0" w:color="auto"/>
              <w:bottom w:val="single" w:sz="4" w:space="0" w:color="000000"/>
              <w:right w:val="single" w:sz="4" w:space="0" w:color="auto"/>
            </w:tcBorders>
            <w:vAlign w:val="center"/>
            <w:hideMark/>
          </w:tcPr>
          <w:p w14:paraId="613DEEAD" w14:textId="77777777" w:rsidR="007D745E" w:rsidRPr="007D745E" w:rsidRDefault="007D745E" w:rsidP="007C46EE">
            <w:pPr>
              <w:spacing w:after="0" w:line="276" w:lineRule="auto"/>
              <w:rPr>
                <w:rFonts w:asciiTheme="majorHAnsi" w:eastAsia="Times New Roman" w:hAnsiTheme="majorHAnsi" w:cs="Times New Roman"/>
                <w:color w:val="000000"/>
                <w:lang w:val="en-IN" w:eastAsia="en-IN"/>
              </w:rPr>
            </w:pPr>
          </w:p>
        </w:tc>
        <w:tc>
          <w:tcPr>
            <w:tcW w:w="5529" w:type="dxa"/>
            <w:tcBorders>
              <w:top w:val="nil"/>
              <w:left w:val="nil"/>
              <w:bottom w:val="single" w:sz="4" w:space="0" w:color="auto"/>
              <w:right w:val="single" w:sz="4" w:space="0" w:color="auto"/>
            </w:tcBorders>
            <w:shd w:val="clear" w:color="auto" w:fill="auto"/>
            <w:vAlign w:val="bottom"/>
            <w:hideMark/>
          </w:tcPr>
          <w:p w14:paraId="1FFA4980" w14:textId="74FC8EFE" w:rsidR="007D745E" w:rsidRPr="007D745E" w:rsidRDefault="008F2F36" w:rsidP="008F2F36">
            <w:pPr>
              <w:spacing w:after="0" w:line="276" w:lineRule="auto"/>
              <w:jc w:val="both"/>
              <w:rPr>
                <w:rFonts w:asciiTheme="majorHAnsi" w:eastAsia="Times New Roman" w:hAnsiTheme="majorHAnsi" w:cs="Times New Roman"/>
                <w:color w:val="000000"/>
                <w:lang w:val="en-IN" w:eastAsia="en-IN"/>
              </w:rPr>
            </w:pPr>
            <w:r w:rsidRPr="008F2F36">
              <w:rPr>
                <w:rFonts w:asciiTheme="majorHAnsi" w:eastAsia="Times New Roman" w:hAnsiTheme="majorHAnsi" w:cs="Times New Roman"/>
                <w:color w:val="000000"/>
                <w:lang w:val="en-IN" w:eastAsia="en-IN"/>
              </w:rPr>
              <w:t>Grant For Purchase of Vehicle-State Dam Safety Cell</w:t>
            </w:r>
          </w:p>
        </w:tc>
        <w:tc>
          <w:tcPr>
            <w:tcW w:w="1648" w:type="dxa"/>
            <w:tcBorders>
              <w:top w:val="nil"/>
              <w:left w:val="nil"/>
              <w:bottom w:val="single" w:sz="4" w:space="0" w:color="auto"/>
              <w:right w:val="single" w:sz="4" w:space="0" w:color="auto"/>
            </w:tcBorders>
            <w:shd w:val="clear" w:color="auto" w:fill="auto"/>
            <w:noWrap/>
            <w:vAlign w:val="center"/>
            <w:hideMark/>
          </w:tcPr>
          <w:p w14:paraId="5FE2877E" w14:textId="77777777" w:rsidR="007D745E" w:rsidRPr="007D745E" w:rsidRDefault="007D745E" w:rsidP="007C46EE">
            <w:pPr>
              <w:spacing w:after="0" w:line="276" w:lineRule="auto"/>
              <w:jc w:val="right"/>
              <w:rPr>
                <w:rFonts w:asciiTheme="majorHAnsi" w:eastAsia="Times New Roman" w:hAnsiTheme="majorHAnsi" w:cs="Times New Roman"/>
                <w:color w:val="000000"/>
                <w:lang w:val="en-IN" w:eastAsia="en-IN"/>
              </w:rPr>
            </w:pPr>
            <w:r w:rsidRPr="007D745E">
              <w:rPr>
                <w:rFonts w:asciiTheme="majorHAnsi" w:eastAsia="Times New Roman" w:hAnsiTheme="majorHAnsi" w:cs="Times New Roman"/>
                <w:color w:val="000000"/>
                <w:lang w:val="en-IN" w:eastAsia="en-IN"/>
              </w:rPr>
              <w:t>750000.00</w:t>
            </w:r>
          </w:p>
        </w:tc>
      </w:tr>
      <w:tr w:rsidR="007D745E" w:rsidRPr="007D745E" w14:paraId="1AE40F97" w14:textId="77777777" w:rsidTr="007D745E">
        <w:trPr>
          <w:trHeight w:val="300"/>
        </w:trPr>
        <w:tc>
          <w:tcPr>
            <w:tcW w:w="1559" w:type="dxa"/>
            <w:vMerge/>
            <w:tcBorders>
              <w:top w:val="single" w:sz="4" w:space="0" w:color="auto"/>
              <w:left w:val="single" w:sz="4" w:space="0" w:color="auto"/>
              <w:bottom w:val="single" w:sz="4" w:space="0" w:color="000000"/>
              <w:right w:val="single" w:sz="4" w:space="0" w:color="auto"/>
            </w:tcBorders>
            <w:vAlign w:val="center"/>
            <w:hideMark/>
          </w:tcPr>
          <w:p w14:paraId="6E837DB5" w14:textId="77777777" w:rsidR="007D745E" w:rsidRPr="007D745E" w:rsidRDefault="007D745E" w:rsidP="007C46EE">
            <w:pPr>
              <w:spacing w:after="0" w:line="276" w:lineRule="auto"/>
              <w:rPr>
                <w:rFonts w:asciiTheme="majorHAnsi" w:eastAsia="Times New Roman" w:hAnsiTheme="majorHAnsi" w:cs="Times New Roman"/>
                <w:color w:val="000000"/>
                <w:lang w:val="en-IN" w:eastAsia="en-IN"/>
              </w:rPr>
            </w:pPr>
          </w:p>
        </w:tc>
        <w:tc>
          <w:tcPr>
            <w:tcW w:w="5529" w:type="dxa"/>
            <w:tcBorders>
              <w:top w:val="nil"/>
              <w:left w:val="nil"/>
              <w:bottom w:val="single" w:sz="4" w:space="0" w:color="auto"/>
              <w:right w:val="single" w:sz="4" w:space="0" w:color="auto"/>
            </w:tcBorders>
            <w:shd w:val="clear" w:color="auto" w:fill="auto"/>
            <w:noWrap/>
            <w:vAlign w:val="bottom"/>
            <w:hideMark/>
          </w:tcPr>
          <w:p w14:paraId="457A867C" w14:textId="77777777" w:rsidR="007D745E" w:rsidRPr="007D745E" w:rsidRDefault="007D745E" w:rsidP="007C46EE">
            <w:pPr>
              <w:spacing w:after="0" w:line="276" w:lineRule="auto"/>
              <w:rPr>
                <w:rFonts w:asciiTheme="majorHAnsi" w:eastAsia="Times New Roman" w:hAnsiTheme="majorHAnsi" w:cs="Times New Roman"/>
                <w:b/>
                <w:bCs/>
                <w:color w:val="000000"/>
                <w:lang w:val="en-IN" w:eastAsia="en-IN"/>
              </w:rPr>
            </w:pPr>
            <w:r w:rsidRPr="007D745E">
              <w:rPr>
                <w:rFonts w:asciiTheme="majorHAnsi" w:eastAsia="Times New Roman" w:hAnsiTheme="majorHAnsi" w:cs="Times New Roman"/>
                <w:b/>
                <w:bCs/>
                <w:color w:val="000000"/>
                <w:lang w:val="en-IN" w:eastAsia="en-IN"/>
              </w:rPr>
              <w:t>Total</w:t>
            </w:r>
          </w:p>
        </w:tc>
        <w:tc>
          <w:tcPr>
            <w:tcW w:w="1648" w:type="dxa"/>
            <w:tcBorders>
              <w:top w:val="nil"/>
              <w:left w:val="nil"/>
              <w:bottom w:val="single" w:sz="4" w:space="0" w:color="auto"/>
              <w:right w:val="single" w:sz="4" w:space="0" w:color="auto"/>
            </w:tcBorders>
            <w:shd w:val="clear" w:color="auto" w:fill="auto"/>
            <w:noWrap/>
            <w:vAlign w:val="bottom"/>
            <w:hideMark/>
          </w:tcPr>
          <w:p w14:paraId="08861519" w14:textId="77777777" w:rsidR="007D745E" w:rsidRPr="007D745E" w:rsidRDefault="007D745E" w:rsidP="007C46EE">
            <w:pPr>
              <w:spacing w:after="0" w:line="276" w:lineRule="auto"/>
              <w:jc w:val="right"/>
              <w:rPr>
                <w:rFonts w:asciiTheme="majorHAnsi" w:eastAsia="Times New Roman" w:hAnsiTheme="majorHAnsi" w:cs="Times New Roman"/>
                <w:b/>
                <w:bCs/>
                <w:color w:val="000000"/>
                <w:lang w:val="en-IN" w:eastAsia="en-IN"/>
              </w:rPr>
            </w:pPr>
            <w:r w:rsidRPr="007D745E">
              <w:rPr>
                <w:rFonts w:asciiTheme="majorHAnsi" w:eastAsia="Times New Roman" w:hAnsiTheme="majorHAnsi" w:cs="Times New Roman"/>
                <w:b/>
                <w:bCs/>
                <w:color w:val="000000"/>
                <w:lang w:val="en-IN" w:eastAsia="en-IN"/>
              </w:rPr>
              <w:t>1919296928.01</w:t>
            </w:r>
          </w:p>
        </w:tc>
      </w:tr>
      <w:tr w:rsidR="007D745E" w:rsidRPr="007D745E" w14:paraId="1A7A38E4" w14:textId="77777777" w:rsidTr="007D745E">
        <w:trPr>
          <w:trHeight w:val="300"/>
        </w:trPr>
        <w:tc>
          <w:tcPr>
            <w:tcW w:w="1559" w:type="dxa"/>
            <w:vMerge/>
            <w:tcBorders>
              <w:top w:val="single" w:sz="4" w:space="0" w:color="auto"/>
              <w:left w:val="single" w:sz="4" w:space="0" w:color="auto"/>
              <w:bottom w:val="single" w:sz="4" w:space="0" w:color="000000"/>
              <w:right w:val="single" w:sz="4" w:space="0" w:color="auto"/>
            </w:tcBorders>
            <w:vAlign w:val="center"/>
            <w:hideMark/>
          </w:tcPr>
          <w:p w14:paraId="3A36CD7A" w14:textId="77777777" w:rsidR="007D745E" w:rsidRPr="007D745E" w:rsidRDefault="007D745E" w:rsidP="007C46EE">
            <w:pPr>
              <w:spacing w:after="0" w:line="276" w:lineRule="auto"/>
              <w:rPr>
                <w:rFonts w:asciiTheme="majorHAnsi" w:eastAsia="Times New Roman" w:hAnsiTheme="majorHAnsi" w:cs="Times New Roman"/>
                <w:color w:val="000000"/>
                <w:lang w:val="en-IN" w:eastAsia="en-IN"/>
              </w:rPr>
            </w:pPr>
          </w:p>
        </w:tc>
        <w:tc>
          <w:tcPr>
            <w:tcW w:w="5529" w:type="dxa"/>
            <w:tcBorders>
              <w:top w:val="nil"/>
              <w:left w:val="nil"/>
              <w:bottom w:val="single" w:sz="4" w:space="0" w:color="auto"/>
              <w:right w:val="single" w:sz="4" w:space="0" w:color="auto"/>
            </w:tcBorders>
            <w:shd w:val="clear" w:color="auto" w:fill="auto"/>
            <w:noWrap/>
            <w:vAlign w:val="bottom"/>
            <w:hideMark/>
          </w:tcPr>
          <w:p w14:paraId="63758EF2" w14:textId="77777777" w:rsidR="007D745E" w:rsidRPr="007D745E" w:rsidRDefault="007D745E" w:rsidP="007C46EE">
            <w:pPr>
              <w:spacing w:after="0" w:line="276" w:lineRule="auto"/>
              <w:rPr>
                <w:rFonts w:asciiTheme="majorHAnsi" w:eastAsia="Times New Roman" w:hAnsiTheme="majorHAnsi" w:cs="Times New Roman"/>
                <w:color w:val="000000"/>
                <w:lang w:val="en-IN" w:eastAsia="en-IN"/>
              </w:rPr>
            </w:pPr>
            <w:r w:rsidRPr="007D745E">
              <w:rPr>
                <w:rFonts w:asciiTheme="majorHAnsi" w:eastAsia="Times New Roman" w:hAnsiTheme="majorHAnsi" w:cs="Times New Roman"/>
                <w:color w:val="000000"/>
                <w:lang w:val="en-IN" w:eastAsia="en-IN"/>
              </w:rPr>
              <w:t>Less: Amortisation during FY 2020-21</w:t>
            </w:r>
          </w:p>
        </w:tc>
        <w:tc>
          <w:tcPr>
            <w:tcW w:w="1648" w:type="dxa"/>
            <w:tcBorders>
              <w:top w:val="nil"/>
              <w:left w:val="nil"/>
              <w:bottom w:val="single" w:sz="4" w:space="0" w:color="auto"/>
              <w:right w:val="single" w:sz="4" w:space="0" w:color="auto"/>
            </w:tcBorders>
            <w:shd w:val="clear" w:color="auto" w:fill="auto"/>
            <w:noWrap/>
            <w:vAlign w:val="bottom"/>
            <w:hideMark/>
          </w:tcPr>
          <w:p w14:paraId="2FF9BAA6" w14:textId="77777777" w:rsidR="007D745E" w:rsidRPr="007D745E" w:rsidRDefault="007D745E" w:rsidP="007C46EE">
            <w:pPr>
              <w:spacing w:after="0" w:line="276" w:lineRule="auto"/>
              <w:jc w:val="right"/>
              <w:rPr>
                <w:rFonts w:asciiTheme="majorHAnsi" w:eastAsia="Times New Roman" w:hAnsiTheme="majorHAnsi" w:cs="Times New Roman"/>
                <w:color w:val="000000"/>
                <w:lang w:val="en-IN" w:eastAsia="en-IN"/>
              </w:rPr>
            </w:pPr>
            <w:r w:rsidRPr="007D745E">
              <w:rPr>
                <w:rFonts w:asciiTheme="majorHAnsi" w:eastAsia="Times New Roman" w:hAnsiTheme="majorHAnsi" w:cs="Times New Roman"/>
                <w:color w:val="000000"/>
                <w:lang w:val="en-IN" w:eastAsia="en-IN"/>
              </w:rPr>
              <w:t>128908695.84</w:t>
            </w:r>
          </w:p>
        </w:tc>
      </w:tr>
      <w:tr w:rsidR="007D745E" w:rsidRPr="007D745E" w14:paraId="5A772612" w14:textId="77777777" w:rsidTr="007D745E">
        <w:trPr>
          <w:trHeight w:val="300"/>
        </w:trPr>
        <w:tc>
          <w:tcPr>
            <w:tcW w:w="1559" w:type="dxa"/>
            <w:vMerge/>
            <w:tcBorders>
              <w:top w:val="single" w:sz="4" w:space="0" w:color="auto"/>
              <w:left w:val="single" w:sz="4" w:space="0" w:color="auto"/>
              <w:bottom w:val="single" w:sz="4" w:space="0" w:color="000000"/>
              <w:right w:val="single" w:sz="4" w:space="0" w:color="auto"/>
            </w:tcBorders>
            <w:vAlign w:val="center"/>
            <w:hideMark/>
          </w:tcPr>
          <w:p w14:paraId="5DE53A59" w14:textId="77777777" w:rsidR="007D745E" w:rsidRPr="007D745E" w:rsidRDefault="007D745E" w:rsidP="007C46EE">
            <w:pPr>
              <w:spacing w:after="0" w:line="276" w:lineRule="auto"/>
              <w:rPr>
                <w:rFonts w:asciiTheme="majorHAnsi" w:eastAsia="Times New Roman" w:hAnsiTheme="majorHAnsi" w:cs="Times New Roman"/>
                <w:color w:val="000000"/>
                <w:lang w:val="en-IN" w:eastAsia="en-IN"/>
              </w:rPr>
            </w:pPr>
          </w:p>
        </w:tc>
        <w:tc>
          <w:tcPr>
            <w:tcW w:w="5529" w:type="dxa"/>
            <w:tcBorders>
              <w:top w:val="nil"/>
              <w:left w:val="nil"/>
              <w:bottom w:val="single" w:sz="4" w:space="0" w:color="auto"/>
              <w:right w:val="single" w:sz="4" w:space="0" w:color="auto"/>
            </w:tcBorders>
            <w:shd w:val="clear" w:color="auto" w:fill="auto"/>
            <w:noWrap/>
            <w:vAlign w:val="bottom"/>
            <w:hideMark/>
          </w:tcPr>
          <w:p w14:paraId="3DFC5906" w14:textId="77777777" w:rsidR="007D745E" w:rsidRPr="007D745E" w:rsidRDefault="007D745E" w:rsidP="007C46EE">
            <w:pPr>
              <w:spacing w:after="0" w:line="276" w:lineRule="auto"/>
              <w:rPr>
                <w:rFonts w:asciiTheme="majorHAnsi" w:eastAsia="Times New Roman" w:hAnsiTheme="majorHAnsi" w:cs="Times New Roman"/>
                <w:b/>
                <w:bCs/>
                <w:color w:val="000000"/>
                <w:lang w:val="en-IN" w:eastAsia="en-IN"/>
              </w:rPr>
            </w:pPr>
            <w:r w:rsidRPr="007D745E">
              <w:rPr>
                <w:rFonts w:asciiTheme="majorHAnsi" w:eastAsia="Times New Roman" w:hAnsiTheme="majorHAnsi" w:cs="Times New Roman"/>
                <w:b/>
                <w:bCs/>
                <w:color w:val="000000"/>
                <w:lang w:val="en-IN" w:eastAsia="en-IN"/>
              </w:rPr>
              <w:t>Total as on 31-3-2021</w:t>
            </w:r>
          </w:p>
        </w:tc>
        <w:tc>
          <w:tcPr>
            <w:tcW w:w="1648" w:type="dxa"/>
            <w:tcBorders>
              <w:top w:val="nil"/>
              <w:left w:val="nil"/>
              <w:bottom w:val="single" w:sz="4" w:space="0" w:color="auto"/>
              <w:right w:val="single" w:sz="4" w:space="0" w:color="auto"/>
            </w:tcBorders>
            <w:shd w:val="clear" w:color="auto" w:fill="auto"/>
            <w:noWrap/>
            <w:vAlign w:val="bottom"/>
            <w:hideMark/>
          </w:tcPr>
          <w:p w14:paraId="14F01C37" w14:textId="77777777" w:rsidR="007D745E" w:rsidRPr="007D745E" w:rsidRDefault="007D745E" w:rsidP="007C46EE">
            <w:pPr>
              <w:spacing w:after="0" w:line="276" w:lineRule="auto"/>
              <w:jc w:val="right"/>
              <w:rPr>
                <w:rFonts w:asciiTheme="majorHAnsi" w:eastAsia="Times New Roman" w:hAnsiTheme="majorHAnsi" w:cs="Times New Roman"/>
                <w:b/>
                <w:bCs/>
                <w:color w:val="000000"/>
                <w:lang w:val="en-IN" w:eastAsia="en-IN"/>
              </w:rPr>
            </w:pPr>
            <w:r w:rsidRPr="007D745E">
              <w:rPr>
                <w:rFonts w:asciiTheme="majorHAnsi" w:eastAsia="Times New Roman" w:hAnsiTheme="majorHAnsi" w:cs="Times New Roman"/>
                <w:b/>
                <w:bCs/>
                <w:color w:val="000000"/>
                <w:lang w:val="en-IN" w:eastAsia="en-IN"/>
              </w:rPr>
              <w:t>1790388232.17</w:t>
            </w:r>
          </w:p>
        </w:tc>
      </w:tr>
    </w:tbl>
    <w:p w14:paraId="27FC744E" w14:textId="77777777" w:rsidR="0052759B" w:rsidRPr="008675CA" w:rsidRDefault="0052759B" w:rsidP="00DA77FC">
      <w:pPr>
        <w:spacing w:after="0"/>
        <w:ind w:left="360"/>
        <w:jc w:val="both"/>
        <w:rPr>
          <w:rFonts w:asciiTheme="majorHAnsi" w:hAnsiTheme="majorHAnsi"/>
        </w:rPr>
      </w:pPr>
    </w:p>
    <w:p w14:paraId="1B06A02A" w14:textId="015EF8D3" w:rsidR="00C1521A" w:rsidRPr="006B51B9" w:rsidRDefault="00A272FB" w:rsidP="00DA77FC">
      <w:pPr>
        <w:spacing w:after="0"/>
        <w:ind w:left="360"/>
        <w:jc w:val="both"/>
        <w:rPr>
          <w:rFonts w:asciiTheme="majorHAnsi" w:hAnsiTheme="majorHAnsi"/>
        </w:rPr>
      </w:pPr>
      <w:r w:rsidRPr="006B51B9">
        <w:rPr>
          <w:rFonts w:asciiTheme="majorHAnsi" w:hAnsiTheme="majorHAnsi"/>
        </w:rPr>
        <w:t>The Hon’ble Commission in the True-up Order for FY2020-21 has stated that t</w:t>
      </w:r>
      <w:r w:rsidR="00C1521A" w:rsidRPr="006B51B9">
        <w:rPr>
          <w:rFonts w:asciiTheme="majorHAnsi" w:hAnsiTheme="majorHAnsi"/>
        </w:rPr>
        <w:t xml:space="preserve">he Grants </w:t>
      </w:r>
      <w:r w:rsidRPr="006B51B9">
        <w:rPr>
          <w:rFonts w:asciiTheme="majorHAnsi" w:hAnsiTheme="majorHAnsi"/>
        </w:rPr>
        <w:t xml:space="preserve">received against PSDF &amp; DRIP-II shall be appropriated in the MePGCL Old Projects ARR. However, it may be mentioned that the Grants </w:t>
      </w:r>
      <w:r w:rsidR="00C1521A" w:rsidRPr="006B51B9">
        <w:rPr>
          <w:rFonts w:asciiTheme="majorHAnsi" w:hAnsiTheme="majorHAnsi"/>
        </w:rPr>
        <w:t>received against DRIP</w:t>
      </w:r>
      <w:r w:rsidR="008F2F36" w:rsidRPr="006B51B9">
        <w:rPr>
          <w:rFonts w:asciiTheme="majorHAnsi" w:hAnsiTheme="majorHAnsi"/>
        </w:rPr>
        <w:t>-II</w:t>
      </w:r>
      <w:r w:rsidRPr="006B51B9">
        <w:rPr>
          <w:rFonts w:asciiTheme="majorHAnsi" w:hAnsiTheme="majorHAnsi"/>
        </w:rPr>
        <w:t xml:space="preserve"> &amp; PSDF</w:t>
      </w:r>
      <w:r w:rsidR="00C1521A" w:rsidRPr="006B51B9">
        <w:rPr>
          <w:rFonts w:asciiTheme="majorHAnsi" w:hAnsiTheme="majorHAnsi"/>
        </w:rPr>
        <w:t xml:space="preserve"> are not only for old stations</w:t>
      </w:r>
      <w:r w:rsidR="008F2F36" w:rsidRPr="006B51B9">
        <w:rPr>
          <w:rFonts w:asciiTheme="majorHAnsi" w:hAnsiTheme="majorHAnsi"/>
        </w:rPr>
        <w:t xml:space="preserve"> but also </w:t>
      </w:r>
      <w:r w:rsidR="007D745E" w:rsidRPr="006B51B9">
        <w:rPr>
          <w:rFonts w:asciiTheme="majorHAnsi" w:hAnsiTheme="majorHAnsi"/>
        </w:rPr>
        <w:t>include</w:t>
      </w:r>
      <w:r w:rsidR="00C1521A" w:rsidRPr="006B51B9">
        <w:rPr>
          <w:rFonts w:asciiTheme="majorHAnsi" w:hAnsiTheme="majorHAnsi"/>
        </w:rPr>
        <w:t xml:space="preserve"> MLHEP</w:t>
      </w:r>
      <w:r w:rsidR="008F2F36" w:rsidRPr="006B51B9">
        <w:rPr>
          <w:rFonts w:asciiTheme="majorHAnsi" w:hAnsiTheme="majorHAnsi"/>
        </w:rPr>
        <w:t>.</w:t>
      </w:r>
      <w:r w:rsidR="00C1521A" w:rsidRPr="006B51B9">
        <w:rPr>
          <w:rFonts w:asciiTheme="majorHAnsi" w:hAnsiTheme="majorHAnsi"/>
        </w:rPr>
        <w:t xml:space="preserve"> </w:t>
      </w:r>
    </w:p>
    <w:p w14:paraId="683B3E34" w14:textId="77777777" w:rsidR="007D745E" w:rsidRPr="008675CA" w:rsidRDefault="007D745E" w:rsidP="00DA77FC">
      <w:pPr>
        <w:spacing w:after="0"/>
        <w:ind w:left="360"/>
        <w:jc w:val="both"/>
        <w:rPr>
          <w:rFonts w:asciiTheme="majorHAnsi" w:hAnsiTheme="majorHAnsi"/>
          <w:b/>
        </w:rPr>
      </w:pPr>
    </w:p>
    <w:p w14:paraId="43CE2DA7" w14:textId="77777777" w:rsidR="00DA77FC" w:rsidRPr="008675CA" w:rsidRDefault="00DA77FC" w:rsidP="00DA77FC">
      <w:pPr>
        <w:spacing w:after="0"/>
        <w:ind w:left="360"/>
        <w:jc w:val="both"/>
        <w:rPr>
          <w:rFonts w:asciiTheme="majorHAnsi" w:hAnsiTheme="majorHAnsi"/>
        </w:rPr>
      </w:pPr>
      <w:r w:rsidRPr="008675CA">
        <w:rPr>
          <w:rFonts w:asciiTheme="majorHAnsi" w:hAnsiTheme="majorHAnsi"/>
        </w:rPr>
        <w:t xml:space="preserve">The Hon’ble Commission has approved </w:t>
      </w:r>
      <w:r w:rsidR="00336A2C" w:rsidRPr="008675CA">
        <w:rPr>
          <w:rFonts w:asciiTheme="majorHAnsi" w:hAnsiTheme="majorHAnsi"/>
        </w:rPr>
        <w:t>Rs.</w:t>
      </w:r>
      <w:r w:rsidRPr="008675CA">
        <w:rPr>
          <w:rFonts w:asciiTheme="majorHAnsi" w:hAnsiTheme="majorHAnsi"/>
        </w:rPr>
        <w:t xml:space="preserve"> </w:t>
      </w:r>
      <w:r w:rsidR="00336A2C" w:rsidRPr="008675CA">
        <w:rPr>
          <w:rFonts w:asciiTheme="majorHAnsi" w:hAnsiTheme="majorHAnsi"/>
        </w:rPr>
        <w:t>46.25</w:t>
      </w:r>
      <w:r w:rsidRPr="008675CA">
        <w:rPr>
          <w:rFonts w:asciiTheme="majorHAnsi" w:hAnsiTheme="majorHAnsi"/>
        </w:rPr>
        <w:t xml:space="preserve"> Cr. for depreciation in true up order for FY </w:t>
      </w:r>
      <w:r w:rsidR="00336A2C" w:rsidRPr="008675CA">
        <w:rPr>
          <w:rFonts w:asciiTheme="majorHAnsi" w:hAnsiTheme="majorHAnsi"/>
        </w:rPr>
        <w:t>2020-21</w:t>
      </w:r>
      <w:r w:rsidR="00511D8F" w:rsidRPr="008675CA">
        <w:rPr>
          <w:rFonts w:asciiTheme="majorHAnsi" w:hAnsiTheme="majorHAnsi"/>
        </w:rPr>
        <w:t>.</w:t>
      </w:r>
      <w:r w:rsidRPr="008675CA">
        <w:rPr>
          <w:rFonts w:asciiTheme="majorHAnsi" w:hAnsiTheme="majorHAnsi"/>
        </w:rPr>
        <w:t xml:space="preserve"> The methodology used by the Hon’ble Commission for depreciation computation is not in line with MSERC (Multi Year Tariff) Regulations, 2014. Moreover, there are errors in calculation as well as in the methodology used by the Hon’ble Commission, which are submitted below:</w:t>
      </w:r>
    </w:p>
    <w:p w14:paraId="57BA3490" w14:textId="77777777" w:rsidR="00DA77FC" w:rsidRPr="008675CA" w:rsidRDefault="00DA77FC" w:rsidP="00DA77FC">
      <w:pPr>
        <w:spacing w:after="0"/>
        <w:ind w:left="360"/>
        <w:jc w:val="both"/>
        <w:rPr>
          <w:rFonts w:asciiTheme="majorHAnsi" w:hAnsiTheme="majorHAnsi"/>
        </w:rPr>
      </w:pPr>
    </w:p>
    <w:p w14:paraId="1D7F4A70" w14:textId="77777777" w:rsidR="00DA77FC" w:rsidRPr="008675CA" w:rsidRDefault="00DA77FC" w:rsidP="00F20961">
      <w:pPr>
        <w:pStyle w:val="ListParagraph"/>
        <w:numPr>
          <w:ilvl w:val="0"/>
          <w:numId w:val="41"/>
        </w:numPr>
        <w:tabs>
          <w:tab w:val="clear" w:pos="720"/>
          <w:tab w:val="left" w:pos="709"/>
        </w:tabs>
        <w:jc w:val="both"/>
        <w:rPr>
          <w:rFonts w:asciiTheme="majorHAnsi" w:hAnsiTheme="majorHAnsi"/>
          <w:szCs w:val="22"/>
        </w:rPr>
      </w:pPr>
      <w:r w:rsidRPr="008675CA">
        <w:rPr>
          <w:rFonts w:asciiTheme="majorHAnsi" w:hAnsiTheme="majorHAnsi"/>
          <w:szCs w:val="22"/>
        </w:rPr>
        <w:t>Hon’ble Commission has adopted the methodology of using aver</w:t>
      </w:r>
      <w:r w:rsidR="00336A2C" w:rsidRPr="008675CA">
        <w:rPr>
          <w:rFonts w:asciiTheme="majorHAnsi" w:hAnsiTheme="majorHAnsi"/>
          <w:szCs w:val="22"/>
        </w:rPr>
        <w:t>age rate of depreciation at 4.30</w:t>
      </w:r>
      <w:r w:rsidRPr="008675CA">
        <w:rPr>
          <w:rFonts w:asciiTheme="majorHAnsi" w:hAnsiTheme="majorHAnsi"/>
          <w:szCs w:val="22"/>
        </w:rPr>
        <w:t xml:space="preserve">% for FY </w:t>
      </w:r>
      <w:r w:rsidR="00336A2C" w:rsidRPr="008675CA">
        <w:rPr>
          <w:rFonts w:asciiTheme="majorHAnsi" w:hAnsiTheme="majorHAnsi"/>
          <w:szCs w:val="22"/>
        </w:rPr>
        <w:t>2020-21</w:t>
      </w:r>
      <w:r w:rsidRPr="008675CA">
        <w:rPr>
          <w:rFonts w:asciiTheme="majorHAnsi" w:hAnsiTheme="majorHAnsi"/>
          <w:szCs w:val="22"/>
        </w:rPr>
        <w:t>. The methodology of using average depreciation rate on asset base is not in line with the regulations and not required when the asset wise break up is available. Further, the rationale or basis of using 4.</w:t>
      </w:r>
      <w:r w:rsidR="00336A2C" w:rsidRPr="008675CA">
        <w:rPr>
          <w:rFonts w:asciiTheme="majorHAnsi" w:hAnsiTheme="majorHAnsi"/>
          <w:szCs w:val="22"/>
        </w:rPr>
        <w:t>30</w:t>
      </w:r>
      <w:r w:rsidRPr="008675CA">
        <w:rPr>
          <w:rFonts w:asciiTheme="majorHAnsi" w:hAnsiTheme="majorHAnsi"/>
          <w:szCs w:val="22"/>
        </w:rPr>
        <w:t xml:space="preserve">% as the average rate of depreciation for FY </w:t>
      </w:r>
      <w:r w:rsidR="00336A2C" w:rsidRPr="008675CA">
        <w:rPr>
          <w:rFonts w:asciiTheme="majorHAnsi" w:hAnsiTheme="majorHAnsi"/>
          <w:szCs w:val="22"/>
        </w:rPr>
        <w:t>2020-21</w:t>
      </w:r>
      <w:r w:rsidRPr="008675CA">
        <w:rPr>
          <w:rFonts w:asciiTheme="majorHAnsi" w:hAnsiTheme="majorHAnsi"/>
          <w:szCs w:val="22"/>
        </w:rPr>
        <w:t xml:space="preserve"> is not explained. It is important to note that most of the assets in the generation business are in the category of plant and machinery which has a depreciation rate of 5.28%. </w:t>
      </w:r>
    </w:p>
    <w:p w14:paraId="37576129" w14:textId="77777777" w:rsidR="00DA77FC" w:rsidRPr="008675CA" w:rsidRDefault="00DA77FC" w:rsidP="00DA77FC">
      <w:pPr>
        <w:pStyle w:val="ListParagraph"/>
        <w:tabs>
          <w:tab w:val="clear" w:pos="720"/>
          <w:tab w:val="left" w:pos="709"/>
        </w:tabs>
        <w:ind w:left="810"/>
        <w:jc w:val="both"/>
        <w:rPr>
          <w:rFonts w:asciiTheme="majorHAnsi" w:hAnsiTheme="majorHAnsi"/>
          <w:szCs w:val="22"/>
        </w:rPr>
      </w:pPr>
    </w:p>
    <w:p w14:paraId="2E373DC2" w14:textId="09BFAA9C" w:rsidR="00DA77FC" w:rsidRPr="00960719" w:rsidRDefault="00DA77FC" w:rsidP="00F20961">
      <w:pPr>
        <w:pStyle w:val="ListParagraph"/>
        <w:numPr>
          <w:ilvl w:val="0"/>
          <w:numId w:val="41"/>
        </w:numPr>
        <w:tabs>
          <w:tab w:val="clear" w:pos="720"/>
          <w:tab w:val="left" w:pos="709"/>
        </w:tabs>
        <w:jc w:val="both"/>
        <w:rPr>
          <w:rFonts w:asciiTheme="majorHAnsi" w:hAnsiTheme="majorHAnsi"/>
          <w:b/>
          <w:bCs/>
          <w:szCs w:val="22"/>
          <w:highlight w:val="lightGray"/>
        </w:rPr>
      </w:pPr>
      <w:r w:rsidRPr="008675CA">
        <w:rPr>
          <w:rFonts w:asciiTheme="majorHAnsi" w:hAnsiTheme="majorHAnsi"/>
          <w:szCs w:val="22"/>
        </w:rPr>
        <w:t xml:space="preserve">The </w:t>
      </w:r>
      <w:r w:rsidR="00960719">
        <w:rPr>
          <w:rFonts w:asciiTheme="majorHAnsi" w:hAnsiTheme="majorHAnsi"/>
          <w:szCs w:val="22"/>
        </w:rPr>
        <w:t xml:space="preserve">average </w:t>
      </w:r>
      <w:r w:rsidRPr="008675CA">
        <w:rPr>
          <w:rFonts w:asciiTheme="majorHAnsi" w:hAnsiTheme="majorHAnsi"/>
          <w:szCs w:val="22"/>
        </w:rPr>
        <w:t xml:space="preserve">grant as reflected in the true up order for FY </w:t>
      </w:r>
      <w:r w:rsidR="00336A2C" w:rsidRPr="008675CA">
        <w:rPr>
          <w:rFonts w:asciiTheme="majorHAnsi" w:hAnsiTheme="majorHAnsi"/>
          <w:szCs w:val="22"/>
        </w:rPr>
        <w:t>2020-21</w:t>
      </w:r>
      <w:r w:rsidRPr="008675CA">
        <w:rPr>
          <w:rFonts w:asciiTheme="majorHAnsi" w:hAnsiTheme="majorHAnsi"/>
          <w:szCs w:val="22"/>
        </w:rPr>
        <w:t xml:space="preserve"> (page 1</w:t>
      </w:r>
      <w:r w:rsidR="00336A2C" w:rsidRPr="008675CA">
        <w:rPr>
          <w:rFonts w:asciiTheme="majorHAnsi" w:hAnsiTheme="majorHAnsi"/>
          <w:szCs w:val="22"/>
        </w:rPr>
        <w:t>3</w:t>
      </w:r>
      <w:r w:rsidRPr="008675CA">
        <w:rPr>
          <w:rFonts w:asciiTheme="majorHAnsi" w:hAnsiTheme="majorHAnsi"/>
          <w:szCs w:val="22"/>
        </w:rPr>
        <w:t xml:space="preserve"> of the order</w:t>
      </w:r>
      <w:r w:rsidR="00511D8F" w:rsidRPr="008675CA">
        <w:rPr>
          <w:rFonts w:asciiTheme="majorHAnsi" w:hAnsiTheme="majorHAnsi"/>
          <w:szCs w:val="22"/>
        </w:rPr>
        <w:t xml:space="preserve">) </w:t>
      </w:r>
      <w:r w:rsidR="00336A2C" w:rsidRPr="008675CA">
        <w:rPr>
          <w:rFonts w:asciiTheme="majorHAnsi" w:hAnsiTheme="majorHAnsi"/>
          <w:szCs w:val="22"/>
        </w:rPr>
        <w:t>amounting to Rs.</w:t>
      </w:r>
      <w:r w:rsidRPr="008675CA">
        <w:rPr>
          <w:rFonts w:asciiTheme="majorHAnsi" w:hAnsiTheme="majorHAnsi"/>
          <w:szCs w:val="22"/>
        </w:rPr>
        <w:t xml:space="preserve"> </w:t>
      </w:r>
      <w:r w:rsidR="00336A2C" w:rsidRPr="008675CA">
        <w:rPr>
          <w:rFonts w:asciiTheme="majorHAnsi" w:hAnsiTheme="majorHAnsi"/>
          <w:szCs w:val="22"/>
        </w:rPr>
        <w:t>209.89</w:t>
      </w:r>
      <w:r w:rsidRPr="008675CA">
        <w:rPr>
          <w:rFonts w:asciiTheme="majorHAnsi" w:hAnsiTheme="majorHAnsi"/>
          <w:szCs w:val="22"/>
        </w:rPr>
        <w:t xml:space="preserve"> crore, </w:t>
      </w:r>
      <w:r w:rsidR="00960719">
        <w:rPr>
          <w:rFonts w:asciiTheme="majorHAnsi" w:hAnsiTheme="majorHAnsi"/>
          <w:szCs w:val="22"/>
        </w:rPr>
        <w:t>is</w:t>
      </w:r>
      <w:r w:rsidRPr="008675CA">
        <w:rPr>
          <w:rFonts w:asciiTheme="majorHAnsi" w:hAnsiTheme="majorHAnsi"/>
          <w:szCs w:val="22"/>
        </w:rPr>
        <w:t xml:space="preserve"> not as per the audited statement of accounts</w:t>
      </w:r>
      <w:r w:rsidR="00960719">
        <w:rPr>
          <w:rFonts w:asciiTheme="majorHAnsi" w:hAnsiTheme="majorHAnsi"/>
          <w:szCs w:val="22"/>
        </w:rPr>
        <w:t xml:space="preserve">, where </w:t>
      </w:r>
      <w:r w:rsidRPr="008675CA">
        <w:rPr>
          <w:rFonts w:asciiTheme="majorHAnsi" w:hAnsiTheme="majorHAnsi"/>
          <w:szCs w:val="22"/>
        </w:rPr>
        <w:t>the grant amount as on 31.03.202</w:t>
      </w:r>
      <w:r w:rsidR="00336A2C" w:rsidRPr="008675CA">
        <w:rPr>
          <w:rFonts w:asciiTheme="majorHAnsi" w:hAnsiTheme="majorHAnsi"/>
          <w:szCs w:val="22"/>
        </w:rPr>
        <w:t xml:space="preserve">1 </w:t>
      </w:r>
      <w:r w:rsidR="00511D8F" w:rsidRPr="008675CA">
        <w:rPr>
          <w:rFonts w:asciiTheme="majorHAnsi" w:hAnsiTheme="majorHAnsi"/>
          <w:szCs w:val="22"/>
        </w:rPr>
        <w:t xml:space="preserve">is </w:t>
      </w:r>
      <w:r w:rsidR="00960719">
        <w:rPr>
          <w:rFonts w:asciiTheme="majorHAnsi" w:hAnsiTheme="majorHAnsi"/>
          <w:szCs w:val="22"/>
        </w:rPr>
        <w:t xml:space="preserve">shown as </w:t>
      </w:r>
      <w:r w:rsidR="00336A2C" w:rsidRPr="00960719">
        <w:rPr>
          <w:rFonts w:asciiTheme="majorHAnsi" w:hAnsiTheme="majorHAnsi"/>
          <w:b/>
          <w:bCs/>
          <w:szCs w:val="22"/>
          <w:highlight w:val="lightGray"/>
        </w:rPr>
        <w:t>Rs.</w:t>
      </w:r>
      <w:r w:rsidRPr="00960719">
        <w:rPr>
          <w:rFonts w:asciiTheme="majorHAnsi" w:hAnsiTheme="majorHAnsi"/>
          <w:b/>
          <w:bCs/>
          <w:szCs w:val="22"/>
          <w:highlight w:val="lightGray"/>
        </w:rPr>
        <w:t xml:space="preserve"> </w:t>
      </w:r>
      <w:r w:rsidR="00336A2C" w:rsidRPr="00960719">
        <w:rPr>
          <w:rFonts w:asciiTheme="majorHAnsi" w:hAnsiTheme="majorHAnsi"/>
          <w:b/>
          <w:bCs/>
          <w:szCs w:val="22"/>
          <w:highlight w:val="lightGray"/>
        </w:rPr>
        <w:t>166.75</w:t>
      </w:r>
      <w:r w:rsidRPr="00960719">
        <w:rPr>
          <w:rFonts w:asciiTheme="majorHAnsi" w:hAnsiTheme="majorHAnsi"/>
          <w:b/>
          <w:bCs/>
          <w:szCs w:val="22"/>
          <w:highlight w:val="lightGray"/>
        </w:rPr>
        <w:t xml:space="preserve"> Cr</w:t>
      </w:r>
      <w:r w:rsidR="00511D8F" w:rsidRPr="00960719">
        <w:rPr>
          <w:rFonts w:asciiTheme="majorHAnsi" w:hAnsiTheme="majorHAnsi"/>
          <w:b/>
          <w:bCs/>
          <w:szCs w:val="22"/>
          <w:highlight w:val="lightGray"/>
        </w:rPr>
        <w:t>.</w:t>
      </w:r>
    </w:p>
    <w:p w14:paraId="1849097B" w14:textId="77777777" w:rsidR="00336A2C" w:rsidRPr="008675CA" w:rsidRDefault="00336A2C" w:rsidP="00336A2C">
      <w:pPr>
        <w:pStyle w:val="ListParagraph"/>
        <w:rPr>
          <w:rFonts w:asciiTheme="majorHAnsi" w:hAnsiTheme="majorHAnsi"/>
          <w:szCs w:val="22"/>
        </w:rPr>
      </w:pPr>
    </w:p>
    <w:p w14:paraId="48ECBBBF" w14:textId="7420A822" w:rsidR="00DA77FC" w:rsidRPr="007D745E" w:rsidRDefault="00960719" w:rsidP="00466D8A">
      <w:pPr>
        <w:tabs>
          <w:tab w:val="left" w:pos="709"/>
        </w:tabs>
        <w:ind w:left="928"/>
        <w:jc w:val="both"/>
        <w:rPr>
          <w:rFonts w:asciiTheme="majorHAnsi" w:hAnsiTheme="majorHAnsi"/>
        </w:rPr>
      </w:pPr>
      <w:r>
        <w:rPr>
          <w:rFonts w:asciiTheme="majorHAnsi" w:hAnsiTheme="majorHAnsi"/>
        </w:rPr>
        <w:t>Further</w:t>
      </w:r>
      <w:r w:rsidR="00DA77FC" w:rsidRPr="007D745E">
        <w:rPr>
          <w:rFonts w:asciiTheme="majorHAnsi" w:hAnsiTheme="majorHAnsi"/>
        </w:rPr>
        <w:t xml:space="preserve">, the grant amount </w:t>
      </w:r>
      <w:r>
        <w:rPr>
          <w:rFonts w:asciiTheme="majorHAnsi" w:hAnsiTheme="majorHAnsi"/>
        </w:rPr>
        <w:t>appearing in the</w:t>
      </w:r>
      <w:r w:rsidR="00DA77FC" w:rsidRPr="007D745E">
        <w:rPr>
          <w:rFonts w:asciiTheme="majorHAnsi" w:hAnsiTheme="majorHAnsi"/>
        </w:rPr>
        <w:t xml:space="preserve"> SOA </w:t>
      </w:r>
      <w:r>
        <w:rPr>
          <w:rFonts w:asciiTheme="majorHAnsi" w:hAnsiTheme="majorHAnsi"/>
        </w:rPr>
        <w:t xml:space="preserve">is </w:t>
      </w:r>
      <w:r w:rsidR="00DA77FC" w:rsidRPr="007D745E">
        <w:rPr>
          <w:rFonts w:asciiTheme="majorHAnsi" w:hAnsiTheme="majorHAnsi"/>
        </w:rPr>
        <w:t>mainly f</w:t>
      </w:r>
      <w:r>
        <w:rPr>
          <w:rFonts w:asciiTheme="majorHAnsi" w:hAnsiTheme="majorHAnsi"/>
        </w:rPr>
        <w:t xml:space="preserve">rom the works for Renovation &amp; Modernisation of </w:t>
      </w:r>
      <w:r w:rsidR="00DA77FC" w:rsidRPr="007D745E">
        <w:rPr>
          <w:rFonts w:asciiTheme="majorHAnsi" w:hAnsiTheme="majorHAnsi"/>
        </w:rPr>
        <w:t>Umiam Stage-I and Umiam Stage-II HEPs</w:t>
      </w:r>
      <w:r>
        <w:rPr>
          <w:rFonts w:asciiTheme="majorHAnsi" w:hAnsiTheme="majorHAnsi"/>
        </w:rPr>
        <w:t xml:space="preserve"> which has been</w:t>
      </w:r>
      <w:r w:rsidR="00DA77FC" w:rsidRPr="007D745E">
        <w:rPr>
          <w:rFonts w:asciiTheme="majorHAnsi" w:hAnsiTheme="majorHAnsi"/>
        </w:rPr>
        <w:t xml:space="preserve"> carried over from the FY 2012-13 onwards</w:t>
      </w:r>
      <w:r>
        <w:rPr>
          <w:rFonts w:asciiTheme="majorHAnsi" w:hAnsiTheme="majorHAnsi"/>
        </w:rPr>
        <w:t xml:space="preserve"> and is not for MLHEP</w:t>
      </w:r>
      <w:r w:rsidR="00DA77FC" w:rsidRPr="007D745E">
        <w:rPr>
          <w:rFonts w:asciiTheme="majorHAnsi" w:hAnsiTheme="majorHAnsi"/>
        </w:rPr>
        <w:t xml:space="preserve">. </w:t>
      </w:r>
      <w:r w:rsidR="00DA77FC" w:rsidRPr="007D745E">
        <w:rPr>
          <w:rFonts w:asciiTheme="majorHAnsi" w:eastAsia="Arial" w:hAnsiTheme="majorHAnsi"/>
          <w:lang w:eastAsia="en-IN"/>
        </w:rPr>
        <w:t xml:space="preserve">Moreover, </w:t>
      </w:r>
      <w:r>
        <w:rPr>
          <w:rFonts w:asciiTheme="majorHAnsi" w:eastAsia="Arial" w:hAnsiTheme="majorHAnsi"/>
          <w:lang w:eastAsia="en-IN"/>
        </w:rPr>
        <w:t xml:space="preserve">all </w:t>
      </w:r>
      <w:r w:rsidR="00DA77FC" w:rsidRPr="007D745E">
        <w:rPr>
          <w:rFonts w:asciiTheme="majorHAnsi" w:eastAsia="Arial" w:hAnsiTheme="majorHAnsi"/>
          <w:lang w:eastAsia="en-IN"/>
        </w:rPr>
        <w:t xml:space="preserve">the grants for MLHEP have been converted into equity by the State Govt. and approved by the Hon’ble Commission. </w:t>
      </w:r>
      <w:r w:rsidR="00DA77FC" w:rsidRPr="006B51B9">
        <w:rPr>
          <w:rFonts w:asciiTheme="majorHAnsi" w:eastAsia="Arial" w:hAnsiTheme="majorHAnsi"/>
          <w:lang w:eastAsia="en-IN"/>
        </w:rPr>
        <w:t xml:space="preserve">Thus, </w:t>
      </w:r>
      <w:r w:rsidRPr="006B51B9">
        <w:rPr>
          <w:rFonts w:asciiTheme="majorHAnsi" w:eastAsia="Arial" w:hAnsiTheme="majorHAnsi"/>
          <w:lang w:eastAsia="en-IN"/>
        </w:rPr>
        <w:t xml:space="preserve">it is felt that </w:t>
      </w:r>
      <w:r w:rsidR="00DA77FC" w:rsidRPr="006B51B9">
        <w:rPr>
          <w:rFonts w:asciiTheme="majorHAnsi" w:eastAsia="Arial" w:hAnsiTheme="majorHAnsi"/>
          <w:lang w:eastAsia="en-IN"/>
        </w:rPr>
        <w:t xml:space="preserve">the </w:t>
      </w:r>
      <w:r w:rsidRPr="006B51B9">
        <w:rPr>
          <w:rFonts w:asciiTheme="majorHAnsi" w:eastAsia="Arial" w:hAnsiTheme="majorHAnsi"/>
          <w:lang w:eastAsia="en-IN"/>
        </w:rPr>
        <w:t xml:space="preserve">above avg. </w:t>
      </w:r>
      <w:r w:rsidR="00DA77FC" w:rsidRPr="006B51B9">
        <w:rPr>
          <w:rFonts w:asciiTheme="majorHAnsi" w:eastAsia="Arial" w:hAnsiTheme="majorHAnsi"/>
          <w:lang w:eastAsia="en-IN"/>
        </w:rPr>
        <w:t xml:space="preserve">grant amount as mentioned in the True up order cannot be considered a part of grants for MLHEP. </w:t>
      </w:r>
      <w:r w:rsidR="00944F21" w:rsidRPr="006B51B9">
        <w:rPr>
          <w:rFonts w:asciiTheme="majorHAnsi" w:eastAsia="Arial" w:hAnsiTheme="majorHAnsi"/>
          <w:lang w:eastAsia="en-IN"/>
        </w:rPr>
        <w:t>MePGCL</w:t>
      </w:r>
      <w:r w:rsidR="00DA77FC" w:rsidRPr="006B51B9">
        <w:rPr>
          <w:rFonts w:asciiTheme="majorHAnsi" w:eastAsia="Arial" w:hAnsiTheme="majorHAnsi"/>
          <w:lang w:eastAsia="en-IN"/>
        </w:rPr>
        <w:t xml:space="preserve"> ha</w:t>
      </w:r>
      <w:r w:rsidRPr="006B51B9">
        <w:rPr>
          <w:rFonts w:asciiTheme="majorHAnsi" w:eastAsia="Arial" w:hAnsiTheme="majorHAnsi"/>
          <w:lang w:eastAsia="en-IN"/>
        </w:rPr>
        <w:t>d</w:t>
      </w:r>
      <w:r w:rsidR="00DA77FC" w:rsidRPr="006B51B9">
        <w:rPr>
          <w:rFonts w:asciiTheme="majorHAnsi" w:eastAsia="Arial" w:hAnsiTheme="majorHAnsi"/>
          <w:lang w:eastAsia="en-IN"/>
        </w:rPr>
        <w:t xml:space="preserve"> submitted </w:t>
      </w:r>
      <w:r w:rsidRPr="006B51B9">
        <w:rPr>
          <w:rFonts w:asciiTheme="majorHAnsi" w:eastAsia="Arial" w:hAnsiTheme="majorHAnsi"/>
          <w:lang w:eastAsia="en-IN"/>
        </w:rPr>
        <w:t xml:space="preserve">earlier </w:t>
      </w:r>
      <w:r w:rsidR="00DA77FC" w:rsidRPr="006B51B9">
        <w:rPr>
          <w:rFonts w:asciiTheme="majorHAnsi" w:eastAsia="Arial" w:hAnsiTheme="majorHAnsi"/>
          <w:lang w:eastAsia="en-IN"/>
        </w:rPr>
        <w:t xml:space="preserve">to the Hon’ble Commission vide letter </w:t>
      </w:r>
      <w:r w:rsidR="006C443A" w:rsidRPr="006B51B9">
        <w:rPr>
          <w:rFonts w:asciiTheme="majorHAnsi" w:eastAsia="Arial" w:hAnsiTheme="majorHAnsi"/>
          <w:lang w:eastAsia="en-IN"/>
        </w:rPr>
        <w:t>No.</w:t>
      </w:r>
      <w:r w:rsidRPr="006B51B9">
        <w:rPr>
          <w:rFonts w:asciiTheme="majorHAnsi" w:eastAsia="Arial" w:hAnsiTheme="majorHAnsi"/>
          <w:lang w:eastAsia="en-IN"/>
        </w:rPr>
        <w:t xml:space="preserve"> </w:t>
      </w:r>
      <w:r w:rsidR="006C443A" w:rsidRPr="006B51B9">
        <w:rPr>
          <w:rFonts w:asciiTheme="majorHAnsi" w:eastAsia="Arial" w:hAnsiTheme="majorHAnsi"/>
          <w:lang w:eastAsia="en-IN"/>
        </w:rPr>
        <w:t>MePGCL/D/GEN/MISC-43/PT-X</w:t>
      </w:r>
      <w:r w:rsidR="00DA77FC" w:rsidRPr="006B51B9">
        <w:rPr>
          <w:rFonts w:asciiTheme="majorHAnsi" w:eastAsia="Arial" w:hAnsiTheme="majorHAnsi"/>
          <w:lang w:eastAsia="en-IN"/>
        </w:rPr>
        <w:t>I</w:t>
      </w:r>
      <w:r w:rsidR="006C443A" w:rsidRPr="006B51B9">
        <w:rPr>
          <w:rFonts w:asciiTheme="majorHAnsi" w:eastAsia="Arial" w:hAnsiTheme="majorHAnsi"/>
          <w:lang w:eastAsia="en-IN"/>
        </w:rPr>
        <w:t>X</w:t>
      </w:r>
      <w:r w:rsidR="00DA77FC" w:rsidRPr="006B51B9">
        <w:rPr>
          <w:rFonts w:asciiTheme="majorHAnsi" w:eastAsia="Arial" w:hAnsiTheme="majorHAnsi"/>
          <w:lang w:eastAsia="en-IN"/>
        </w:rPr>
        <w:t>/6</w:t>
      </w:r>
      <w:r w:rsidR="006C443A" w:rsidRPr="006B51B9">
        <w:rPr>
          <w:rFonts w:asciiTheme="majorHAnsi" w:eastAsia="Arial" w:hAnsiTheme="majorHAnsi"/>
          <w:lang w:eastAsia="en-IN"/>
        </w:rPr>
        <w:t>1</w:t>
      </w:r>
      <w:r w:rsidR="00DA77FC" w:rsidRPr="006B51B9">
        <w:rPr>
          <w:rFonts w:asciiTheme="majorHAnsi" w:eastAsia="Arial" w:hAnsiTheme="majorHAnsi"/>
          <w:lang w:eastAsia="en-IN"/>
        </w:rPr>
        <w:t>,</w:t>
      </w:r>
      <w:r w:rsidR="006C443A" w:rsidRPr="006B51B9">
        <w:rPr>
          <w:rFonts w:asciiTheme="majorHAnsi" w:eastAsia="Arial" w:hAnsiTheme="majorHAnsi"/>
          <w:lang w:eastAsia="en-IN"/>
        </w:rPr>
        <w:t xml:space="preserve"> </w:t>
      </w:r>
      <w:r w:rsidR="00DA77FC" w:rsidRPr="006B51B9">
        <w:rPr>
          <w:rFonts w:asciiTheme="majorHAnsi" w:eastAsia="Arial" w:hAnsiTheme="majorHAnsi"/>
          <w:lang w:eastAsia="en-IN"/>
        </w:rPr>
        <w:t>dt.1</w:t>
      </w:r>
      <w:r w:rsidR="006C443A" w:rsidRPr="006B51B9">
        <w:rPr>
          <w:rFonts w:asciiTheme="majorHAnsi" w:eastAsia="Arial" w:hAnsiTheme="majorHAnsi"/>
          <w:lang w:eastAsia="en-IN"/>
        </w:rPr>
        <w:t>6</w:t>
      </w:r>
      <w:r w:rsidR="00DA77FC" w:rsidRPr="006B51B9">
        <w:rPr>
          <w:rFonts w:asciiTheme="majorHAnsi" w:eastAsia="Arial" w:hAnsiTheme="majorHAnsi"/>
          <w:lang w:eastAsia="en-IN"/>
        </w:rPr>
        <w:t>.01.202</w:t>
      </w:r>
      <w:r w:rsidR="006C443A" w:rsidRPr="006B51B9">
        <w:rPr>
          <w:rFonts w:asciiTheme="majorHAnsi" w:eastAsia="Arial" w:hAnsiTheme="majorHAnsi"/>
          <w:lang w:eastAsia="en-IN"/>
        </w:rPr>
        <w:t>3</w:t>
      </w:r>
      <w:r w:rsidR="00DA77FC" w:rsidRPr="006B51B9">
        <w:rPr>
          <w:rFonts w:asciiTheme="majorHAnsi" w:eastAsia="Arial" w:hAnsiTheme="majorHAnsi"/>
          <w:lang w:eastAsia="en-IN"/>
        </w:rPr>
        <w:t>, that the grant amount</w:t>
      </w:r>
      <w:r w:rsidRPr="006B51B9">
        <w:rPr>
          <w:rFonts w:asciiTheme="majorHAnsi" w:eastAsia="Arial" w:hAnsiTheme="majorHAnsi"/>
          <w:lang w:eastAsia="en-IN"/>
        </w:rPr>
        <w:t xml:space="preserve"> is</w:t>
      </w:r>
      <w:r w:rsidR="00DA77FC" w:rsidRPr="006B51B9">
        <w:rPr>
          <w:rFonts w:asciiTheme="majorHAnsi" w:eastAsia="Arial" w:hAnsiTheme="majorHAnsi"/>
          <w:lang w:eastAsia="en-IN"/>
        </w:rPr>
        <w:t xml:space="preserve"> only for Survey &amp; Investigation works and </w:t>
      </w:r>
      <w:r w:rsidR="00466D8A" w:rsidRPr="006B51B9">
        <w:rPr>
          <w:rFonts w:asciiTheme="majorHAnsi" w:eastAsia="Arial" w:hAnsiTheme="majorHAnsi"/>
          <w:lang w:eastAsia="en-IN"/>
        </w:rPr>
        <w:t xml:space="preserve">old </w:t>
      </w:r>
      <w:r w:rsidR="00DA77FC" w:rsidRPr="006B51B9">
        <w:rPr>
          <w:rFonts w:asciiTheme="majorHAnsi" w:eastAsia="Arial" w:hAnsiTheme="majorHAnsi"/>
          <w:lang w:eastAsia="en-IN"/>
        </w:rPr>
        <w:t xml:space="preserve">projects </w:t>
      </w:r>
      <w:r w:rsidR="00466D8A" w:rsidRPr="006B51B9">
        <w:rPr>
          <w:rFonts w:asciiTheme="majorHAnsi" w:eastAsia="Arial" w:hAnsiTheme="majorHAnsi"/>
          <w:lang w:eastAsia="en-IN"/>
        </w:rPr>
        <w:t xml:space="preserve">and </w:t>
      </w:r>
      <w:r w:rsidR="00DA77FC" w:rsidRPr="006B51B9">
        <w:rPr>
          <w:rFonts w:asciiTheme="majorHAnsi" w:eastAsia="Arial" w:hAnsiTheme="majorHAnsi"/>
          <w:lang w:eastAsia="en-IN"/>
        </w:rPr>
        <w:t>not for MLHEP</w:t>
      </w:r>
      <w:r w:rsidR="006C443A" w:rsidRPr="006B51B9">
        <w:rPr>
          <w:rFonts w:asciiTheme="majorHAnsi" w:eastAsia="Arial" w:hAnsiTheme="majorHAnsi"/>
          <w:lang w:eastAsia="en-IN"/>
        </w:rPr>
        <w:t xml:space="preserve"> and </w:t>
      </w:r>
      <w:r w:rsidRPr="006B51B9">
        <w:rPr>
          <w:rFonts w:asciiTheme="majorHAnsi" w:eastAsia="Arial" w:hAnsiTheme="majorHAnsi"/>
          <w:lang w:eastAsia="en-IN"/>
        </w:rPr>
        <w:t xml:space="preserve">that </w:t>
      </w:r>
      <w:r w:rsidR="006C443A" w:rsidRPr="006B51B9">
        <w:rPr>
          <w:rFonts w:asciiTheme="majorHAnsi" w:eastAsia="Arial" w:hAnsiTheme="majorHAnsi"/>
          <w:lang w:eastAsia="en-IN"/>
        </w:rPr>
        <w:t xml:space="preserve">all grants towards cost of capital assets (State Government) converted to Equity share capital pending </w:t>
      </w:r>
      <w:r w:rsidRPr="006B51B9">
        <w:rPr>
          <w:rFonts w:asciiTheme="majorHAnsi" w:eastAsia="Arial" w:hAnsiTheme="majorHAnsi"/>
          <w:lang w:eastAsia="en-IN"/>
        </w:rPr>
        <w:t>allotment during</w:t>
      </w:r>
      <w:r w:rsidR="006C443A" w:rsidRPr="006B51B9">
        <w:rPr>
          <w:rFonts w:asciiTheme="majorHAnsi" w:eastAsia="Arial" w:hAnsiTheme="majorHAnsi"/>
          <w:lang w:eastAsia="en-IN"/>
        </w:rPr>
        <w:t xml:space="preserve"> financial year 2020-21</w:t>
      </w:r>
      <w:r w:rsidRPr="006B51B9">
        <w:rPr>
          <w:rFonts w:asciiTheme="majorHAnsi" w:eastAsia="Arial" w:hAnsiTheme="majorHAnsi"/>
          <w:lang w:eastAsia="en-IN"/>
        </w:rPr>
        <w:t xml:space="preserve">, </w:t>
      </w:r>
      <w:r w:rsidR="006C443A" w:rsidRPr="006B51B9">
        <w:rPr>
          <w:rFonts w:asciiTheme="majorHAnsi" w:eastAsia="Arial" w:hAnsiTheme="majorHAnsi"/>
          <w:lang w:eastAsia="en-IN"/>
        </w:rPr>
        <w:t>has been disclosed (Notes 15.1 and 15.2)</w:t>
      </w:r>
      <w:r w:rsidR="006C443A" w:rsidRPr="007D745E">
        <w:rPr>
          <w:rFonts w:asciiTheme="majorHAnsi" w:eastAsia="Arial" w:hAnsiTheme="majorHAnsi"/>
          <w:lang w:eastAsia="en-IN"/>
        </w:rPr>
        <w:t xml:space="preserve"> </w:t>
      </w:r>
    </w:p>
    <w:p w14:paraId="2EED6087" w14:textId="7411E08A" w:rsidR="00DA77FC" w:rsidRPr="007D745E" w:rsidRDefault="00466D8A" w:rsidP="00466D8A">
      <w:pPr>
        <w:ind w:left="928"/>
        <w:jc w:val="both"/>
        <w:rPr>
          <w:rFonts w:asciiTheme="majorHAnsi" w:hAnsiTheme="majorHAnsi"/>
          <w:b/>
        </w:rPr>
      </w:pPr>
      <w:r>
        <w:rPr>
          <w:rFonts w:asciiTheme="majorHAnsi" w:hAnsiTheme="majorHAnsi"/>
          <w:i/>
        </w:rPr>
        <w:lastRenderedPageBreak/>
        <w:t>T</w:t>
      </w:r>
      <w:r w:rsidR="00DA77FC" w:rsidRPr="007D745E">
        <w:rPr>
          <w:rFonts w:asciiTheme="majorHAnsi" w:hAnsiTheme="majorHAnsi"/>
          <w:i/>
        </w:rPr>
        <w:t xml:space="preserve">he Hon’ble Commission considered the total asset base of </w:t>
      </w:r>
      <w:r w:rsidR="006C443A" w:rsidRPr="007D745E">
        <w:rPr>
          <w:rFonts w:asciiTheme="majorHAnsi" w:hAnsiTheme="majorHAnsi"/>
          <w:i/>
        </w:rPr>
        <w:t>Rs.1285.71</w:t>
      </w:r>
      <w:r w:rsidR="00DA77FC" w:rsidRPr="007D745E">
        <w:rPr>
          <w:rFonts w:asciiTheme="majorHAnsi" w:hAnsiTheme="majorHAnsi"/>
          <w:i/>
        </w:rPr>
        <w:t xml:space="preserve"> Cr. and </w:t>
      </w:r>
      <w:r>
        <w:rPr>
          <w:rFonts w:asciiTheme="majorHAnsi" w:hAnsiTheme="majorHAnsi"/>
          <w:i/>
        </w:rPr>
        <w:t xml:space="preserve">avg. </w:t>
      </w:r>
      <w:r w:rsidR="00DA77FC" w:rsidRPr="007D745E">
        <w:rPr>
          <w:rFonts w:asciiTheme="majorHAnsi" w:hAnsiTheme="majorHAnsi"/>
          <w:i/>
        </w:rPr>
        <w:t>grant amount of R</w:t>
      </w:r>
      <w:r w:rsidR="00362929" w:rsidRPr="007D745E">
        <w:rPr>
          <w:rFonts w:asciiTheme="majorHAnsi" w:hAnsiTheme="majorHAnsi"/>
          <w:i/>
        </w:rPr>
        <w:t>s.</w:t>
      </w:r>
      <w:r w:rsidR="00DA77FC" w:rsidRPr="007D745E">
        <w:rPr>
          <w:rFonts w:asciiTheme="majorHAnsi" w:hAnsiTheme="majorHAnsi"/>
          <w:i/>
        </w:rPr>
        <w:t xml:space="preserve"> </w:t>
      </w:r>
      <w:r w:rsidR="005E28B5" w:rsidRPr="007D745E">
        <w:rPr>
          <w:rFonts w:asciiTheme="majorHAnsi" w:hAnsiTheme="majorHAnsi"/>
          <w:i/>
        </w:rPr>
        <w:t>209.89</w:t>
      </w:r>
      <w:r w:rsidR="00DA77FC" w:rsidRPr="007D745E">
        <w:rPr>
          <w:rFonts w:asciiTheme="majorHAnsi" w:hAnsiTheme="majorHAnsi"/>
          <w:i/>
        </w:rPr>
        <w:t xml:space="preserve"> Cr. for FY </w:t>
      </w:r>
      <w:r w:rsidR="005E28B5" w:rsidRPr="007D745E">
        <w:rPr>
          <w:rFonts w:asciiTheme="majorHAnsi" w:hAnsiTheme="majorHAnsi"/>
          <w:i/>
        </w:rPr>
        <w:t>2020-21</w:t>
      </w:r>
      <w:r>
        <w:rPr>
          <w:rFonts w:asciiTheme="majorHAnsi" w:hAnsiTheme="majorHAnsi"/>
          <w:i/>
        </w:rPr>
        <w:t xml:space="preserve"> </w:t>
      </w:r>
      <w:r w:rsidRPr="007D745E">
        <w:rPr>
          <w:rFonts w:asciiTheme="majorHAnsi" w:hAnsiTheme="majorHAnsi"/>
          <w:b/>
        </w:rPr>
        <w:t>(Table 10).</w:t>
      </w:r>
      <w:r>
        <w:rPr>
          <w:rFonts w:asciiTheme="majorHAnsi" w:hAnsiTheme="majorHAnsi"/>
          <w:i/>
        </w:rPr>
        <w:t xml:space="preserve"> </w:t>
      </w:r>
      <w:r w:rsidR="00DA77FC" w:rsidRPr="007D745E">
        <w:rPr>
          <w:rFonts w:asciiTheme="majorHAnsi" w:hAnsiTheme="majorHAnsi"/>
          <w:b/>
        </w:rPr>
        <w:t xml:space="preserve">This implies </w:t>
      </w:r>
      <w:r>
        <w:rPr>
          <w:rFonts w:asciiTheme="majorHAnsi" w:hAnsiTheme="majorHAnsi"/>
          <w:b/>
        </w:rPr>
        <w:t>that all this</w:t>
      </w:r>
      <w:r w:rsidR="00DA77FC" w:rsidRPr="007D745E">
        <w:rPr>
          <w:rFonts w:asciiTheme="majorHAnsi" w:hAnsiTheme="majorHAnsi"/>
          <w:b/>
        </w:rPr>
        <w:t xml:space="preserve"> grant belongs to MLHEP</w:t>
      </w:r>
      <w:r>
        <w:rPr>
          <w:rFonts w:asciiTheme="majorHAnsi" w:hAnsiTheme="majorHAnsi"/>
          <w:b/>
        </w:rPr>
        <w:t>. Further, it is not clear from how t</w:t>
      </w:r>
      <w:r w:rsidR="00362929" w:rsidRPr="007D745E">
        <w:rPr>
          <w:rFonts w:asciiTheme="majorHAnsi" w:hAnsiTheme="majorHAnsi"/>
        </w:rPr>
        <w:t>he Avg</w:t>
      </w:r>
      <w:r w:rsidR="007D745E">
        <w:rPr>
          <w:rFonts w:asciiTheme="majorHAnsi" w:hAnsiTheme="majorHAnsi"/>
        </w:rPr>
        <w:t>.</w:t>
      </w:r>
      <w:r w:rsidR="00362929" w:rsidRPr="007D745E">
        <w:rPr>
          <w:rFonts w:asciiTheme="majorHAnsi" w:hAnsiTheme="majorHAnsi"/>
        </w:rPr>
        <w:t xml:space="preserve"> grants of Rs. 209.89 Cr. </w:t>
      </w:r>
      <w:r>
        <w:rPr>
          <w:rFonts w:asciiTheme="majorHAnsi" w:hAnsiTheme="majorHAnsi"/>
        </w:rPr>
        <w:t xml:space="preserve">is arrived at by the Hon’ble Commission </w:t>
      </w:r>
      <w:r w:rsidR="00362929" w:rsidRPr="007D745E">
        <w:rPr>
          <w:rFonts w:asciiTheme="majorHAnsi" w:hAnsiTheme="majorHAnsi"/>
        </w:rPr>
        <w:t xml:space="preserve">in the </w:t>
      </w:r>
      <w:r w:rsidRPr="007D745E">
        <w:rPr>
          <w:rFonts w:asciiTheme="majorHAnsi" w:hAnsiTheme="majorHAnsi"/>
        </w:rPr>
        <w:t xml:space="preserve">order </w:t>
      </w:r>
      <w:r w:rsidR="00362929" w:rsidRPr="007D745E">
        <w:rPr>
          <w:rFonts w:asciiTheme="majorHAnsi" w:hAnsiTheme="majorHAnsi"/>
        </w:rPr>
        <w:t xml:space="preserve">and not as per the SOA. </w:t>
      </w:r>
      <w:r w:rsidR="00DA77FC" w:rsidRPr="007D745E">
        <w:rPr>
          <w:rFonts w:asciiTheme="majorHAnsi" w:hAnsiTheme="majorHAnsi"/>
          <w:b/>
        </w:rPr>
        <w:t>This seems to be an error on the part of the Hon’ble Commission.</w:t>
      </w:r>
      <w:r w:rsidR="00362929" w:rsidRPr="007D745E">
        <w:rPr>
          <w:rFonts w:asciiTheme="majorHAnsi" w:hAnsiTheme="majorHAnsi"/>
          <w:b/>
        </w:rPr>
        <w:t xml:space="preserve"> </w:t>
      </w:r>
    </w:p>
    <w:p w14:paraId="148E54C1" w14:textId="77777777" w:rsidR="00DA77FC" w:rsidRPr="007D745E" w:rsidRDefault="00DA77FC" w:rsidP="00466D8A">
      <w:pPr>
        <w:ind w:left="928"/>
        <w:jc w:val="both"/>
        <w:rPr>
          <w:rFonts w:asciiTheme="majorHAnsi" w:hAnsiTheme="majorHAnsi"/>
        </w:rPr>
      </w:pPr>
      <w:r w:rsidRPr="007D745E">
        <w:rPr>
          <w:rFonts w:asciiTheme="majorHAnsi" w:hAnsiTheme="majorHAnsi"/>
        </w:rPr>
        <w:t>In this context, it is important to refer to the Hon’ble Commission’s Order for Approval of Capital Cost for Myntdu</w:t>
      </w:r>
      <w:r w:rsidR="00D741C8" w:rsidRPr="007D745E">
        <w:rPr>
          <w:rFonts w:asciiTheme="majorHAnsi" w:hAnsiTheme="majorHAnsi"/>
        </w:rPr>
        <w:t xml:space="preserve"> </w:t>
      </w:r>
      <w:r w:rsidRPr="007D745E">
        <w:rPr>
          <w:rFonts w:asciiTheme="majorHAnsi" w:hAnsiTheme="majorHAnsi"/>
        </w:rPr>
        <w:t>Leshka</w:t>
      </w:r>
      <w:r w:rsidR="00D741C8" w:rsidRPr="007D745E">
        <w:rPr>
          <w:rFonts w:asciiTheme="majorHAnsi" w:hAnsiTheme="majorHAnsi"/>
        </w:rPr>
        <w:t xml:space="preserve"> </w:t>
      </w:r>
      <w:r w:rsidRPr="007D745E">
        <w:rPr>
          <w:rFonts w:asciiTheme="majorHAnsi" w:hAnsiTheme="majorHAnsi"/>
        </w:rPr>
        <w:t xml:space="preserve">Hydel Electric Project (MLHEP) dated 30.03.2017, in which the Commission itself has approved the funding of Leshka as 70:30 in debts and equity and as such, there is no grant against Leshka. </w:t>
      </w:r>
    </w:p>
    <w:p w14:paraId="0CD0B050" w14:textId="77777777" w:rsidR="00DA77FC" w:rsidRPr="008675CA" w:rsidRDefault="00DA77FC" w:rsidP="00F20961">
      <w:pPr>
        <w:pStyle w:val="ListParagraph"/>
        <w:numPr>
          <w:ilvl w:val="0"/>
          <w:numId w:val="41"/>
        </w:numPr>
        <w:ind w:left="720" w:hanging="450"/>
        <w:jc w:val="both"/>
        <w:rPr>
          <w:rFonts w:asciiTheme="majorHAnsi" w:hAnsiTheme="majorHAnsi"/>
          <w:szCs w:val="22"/>
        </w:rPr>
      </w:pPr>
      <w:r w:rsidRPr="008675CA">
        <w:rPr>
          <w:rFonts w:asciiTheme="majorHAnsi" w:hAnsiTheme="majorHAnsi"/>
          <w:szCs w:val="22"/>
        </w:rPr>
        <w:t>Depreciation has been calculated by applying the depreciation rates on 100% of GFA, while the claim is made up to 90% of the asset value leaving 10% as salvage value. However, the depreciation computed by the Hon’ble Commission is on 90% of asset value.</w:t>
      </w:r>
    </w:p>
    <w:p w14:paraId="3D08A21D" w14:textId="77777777" w:rsidR="00DA77FC" w:rsidRPr="008675CA" w:rsidRDefault="00DA77FC" w:rsidP="00DA77FC">
      <w:pPr>
        <w:pStyle w:val="ListParagraph"/>
        <w:ind w:left="810"/>
        <w:jc w:val="both"/>
        <w:rPr>
          <w:rFonts w:asciiTheme="majorHAnsi" w:hAnsiTheme="majorHAnsi"/>
          <w:szCs w:val="22"/>
        </w:rPr>
      </w:pPr>
    </w:p>
    <w:p w14:paraId="0F3FFD18" w14:textId="77777777" w:rsidR="00DA77FC" w:rsidRPr="007D745E" w:rsidRDefault="00DA77FC" w:rsidP="00DB5973">
      <w:pPr>
        <w:ind w:left="720"/>
        <w:jc w:val="both"/>
        <w:rPr>
          <w:rFonts w:asciiTheme="majorHAnsi" w:hAnsiTheme="majorHAnsi"/>
        </w:rPr>
      </w:pPr>
      <w:r w:rsidRPr="007D745E">
        <w:rPr>
          <w:rFonts w:asciiTheme="majorHAnsi" w:hAnsiTheme="majorHAnsi"/>
        </w:rPr>
        <w:t xml:space="preserve">Moreover, if the methodology adopted by the Hon’ble Commission is adopted to calculate the depreciation cost of MLHEP (Leshka) for FY </w:t>
      </w:r>
      <w:r w:rsidR="005E28B5" w:rsidRPr="007D745E">
        <w:rPr>
          <w:rFonts w:asciiTheme="majorHAnsi" w:hAnsiTheme="majorHAnsi"/>
        </w:rPr>
        <w:t>2020-21</w:t>
      </w:r>
      <w:r w:rsidRPr="007D745E">
        <w:rPr>
          <w:rFonts w:asciiTheme="majorHAnsi" w:hAnsiTheme="majorHAnsi"/>
        </w:rPr>
        <w:t>, excluding grant component, the depreciation cost is estimated to be INR 61.41 Cr., which is more than the total depreciation cost approved by the Hon’ble Commission for the entire asset base of MePGCL.</w:t>
      </w:r>
    </w:p>
    <w:p w14:paraId="53C4C28D" w14:textId="77777777" w:rsidR="00DA77FC" w:rsidRPr="008675CA" w:rsidRDefault="00DA77FC" w:rsidP="00DA77FC">
      <w:pPr>
        <w:pStyle w:val="Caption"/>
        <w:keepNext/>
        <w:spacing w:after="0"/>
        <w:ind w:left="360"/>
        <w:jc w:val="center"/>
        <w:rPr>
          <w:rFonts w:asciiTheme="majorHAnsi" w:hAnsiTheme="majorHAnsi"/>
          <w:b/>
          <w:i w:val="0"/>
          <w:color w:val="auto"/>
          <w:sz w:val="22"/>
          <w:szCs w:val="22"/>
        </w:rPr>
      </w:pPr>
      <w:r w:rsidRPr="008675CA">
        <w:rPr>
          <w:rFonts w:asciiTheme="majorHAnsi" w:hAnsiTheme="majorHAnsi"/>
          <w:b/>
          <w:i w:val="0"/>
          <w:color w:val="auto"/>
          <w:sz w:val="22"/>
          <w:szCs w:val="22"/>
        </w:rPr>
        <w:t xml:space="preserve">Table </w:t>
      </w:r>
      <w:r w:rsidR="007D745E">
        <w:rPr>
          <w:rFonts w:asciiTheme="majorHAnsi" w:hAnsiTheme="majorHAnsi"/>
          <w:b/>
          <w:i w:val="0"/>
          <w:color w:val="auto"/>
          <w:sz w:val="22"/>
          <w:szCs w:val="22"/>
        </w:rPr>
        <w:t>2</w:t>
      </w:r>
      <w:r w:rsidRPr="008675CA">
        <w:rPr>
          <w:rFonts w:asciiTheme="majorHAnsi" w:hAnsiTheme="majorHAnsi"/>
          <w:b/>
          <w:i w:val="0"/>
          <w:color w:val="auto"/>
          <w:sz w:val="22"/>
          <w:szCs w:val="22"/>
        </w:rPr>
        <w:t>: Depreciation Cost of MLHEP (Leshka) As Per Order issued by Hon’ble Commission</w:t>
      </w:r>
    </w:p>
    <w:tbl>
      <w:tblPr>
        <w:tblStyle w:val="GridTable41"/>
        <w:tblW w:w="461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5910"/>
        <w:gridCol w:w="2132"/>
      </w:tblGrid>
      <w:tr w:rsidR="00933542" w:rsidRPr="008675CA" w14:paraId="0C791E1D" w14:textId="77777777" w:rsidTr="007D745E">
        <w:trPr>
          <w:cnfStyle w:val="100000000000" w:firstRow="1" w:lastRow="0" w:firstColumn="0" w:lastColumn="0" w:oddVBand="0" w:evenVBand="0" w:oddHBand="0" w:evenHBand="0" w:firstRowFirstColumn="0" w:firstRowLastColumn="0" w:lastRowFirstColumn="0" w:lastRowLastColumn="0"/>
          <w:trHeight w:val="268"/>
          <w:tblHeader/>
        </w:trPr>
        <w:tc>
          <w:tcPr>
            <w:cnfStyle w:val="001000000000" w:firstRow="0" w:lastRow="0" w:firstColumn="1" w:lastColumn="0" w:oddVBand="0" w:evenVBand="0" w:oddHBand="0" w:evenHBand="0" w:firstRowFirstColumn="0" w:firstRowLastColumn="0" w:lastRowFirstColumn="0" w:lastRowLastColumn="0"/>
            <w:tcW w:w="571" w:type="pct"/>
            <w:shd w:val="clear" w:color="auto" w:fill="BFBFBF" w:themeFill="background1" w:themeFillShade="BF"/>
            <w:noWrap/>
          </w:tcPr>
          <w:p w14:paraId="3E68901C" w14:textId="77777777" w:rsidR="00933542" w:rsidRPr="008675CA" w:rsidRDefault="00933542" w:rsidP="003D4573">
            <w:pPr>
              <w:jc w:val="center"/>
              <w:rPr>
                <w:rFonts w:asciiTheme="majorHAnsi" w:eastAsia="Times New Roman" w:hAnsiTheme="majorHAnsi" w:cs="Calibri"/>
                <w:color w:val="auto"/>
              </w:rPr>
            </w:pPr>
            <w:r w:rsidRPr="008675CA">
              <w:rPr>
                <w:rFonts w:asciiTheme="majorHAnsi" w:eastAsia="Times New Roman" w:hAnsiTheme="majorHAnsi" w:cs="Calibri"/>
                <w:color w:val="auto"/>
              </w:rPr>
              <w:t>Sr. No.</w:t>
            </w:r>
          </w:p>
        </w:tc>
        <w:tc>
          <w:tcPr>
            <w:tcW w:w="3255" w:type="pct"/>
            <w:tcBorders>
              <w:right w:val="single" w:sz="4" w:space="0" w:color="auto"/>
            </w:tcBorders>
            <w:shd w:val="clear" w:color="auto" w:fill="BFBFBF" w:themeFill="background1" w:themeFillShade="BF"/>
            <w:noWrap/>
          </w:tcPr>
          <w:p w14:paraId="4C6D69CC" w14:textId="77777777" w:rsidR="00933542" w:rsidRPr="008675CA" w:rsidRDefault="00933542" w:rsidP="003D4573">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color w:val="auto"/>
              </w:rPr>
            </w:pPr>
            <w:r w:rsidRPr="008675CA">
              <w:rPr>
                <w:rFonts w:asciiTheme="majorHAnsi" w:eastAsia="Times New Roman" w:hAnsiTheme="majorHAnsi" w:cs="Calibri"/>
                <w:color w:val="auto"/>
              </w:rPr>
              <w:t>Particulars</w:t>
            </w:r>
          </w:p>
        </w:tc>
        <w:tc>
          <w:tcPr>
            <w:tcW w:w="1174" w:type="pct"/>
            <w:tcBorders>
              <w:left w:val="single" w:sz="4" w:space="0" w:color="auto"/>
            </w:tcBorders>
            <w:shd w:val="clear" w:color="auto" w:fill="BFBFBF" w:themeFill="background1" w:themeFillShade="BF"/>
          </w:tcPr>
          <w:p w14:paraId="1C8098F8" w14:textId="77777777" w:rsidR="00933542" w:rsidRPr="008675CA" w:rsidRDefault="00933542" w:rsidP="00362929">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color w:val="auto"/>
              </w:rPr>
            </w:pPr>
            <w:r w:rsidRPr="008675CA">
              <w:rPr>
                <w:rFonts w:asciiTheme="majorHAnsi" w:eastAsia="Times New Roman" w:hAnsiTheme="majorHAnsi" w:cs="Calibri"/>
                <w:color w:val="auto"/>
              </w:rPr>
              <w:t xml:space="preserve">FY </w:t>
            </w:r>
            <w:r w:rsidR="00362929" w:rsidRPr="008675CA">
              <w:rPr>
                <w:rFonts w:asciiTheme="majorHAnsi" w:eastAsia="Times New Roman" w:hAnsiTheme="majorHAnsi" w:cs="Calibri"/>
                <w:color w:val="auto"/>
              </w:rPr>
              <w:t>2020-21</w:t>
            </w:r>
          </w:p>
        </w:tc>
      </w:tr>
      <w:tr w:rsidR="00933542" w:rsidRPr="008675CA" w14:paraId="25BC90F6" w14:textId="77777777" w:rsidTr="007D745E">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571" w:type="pct"/>
            <w:shd w:val="clear" w:color="auto" w:fill="auto"/>
            <w:noWrap/>
            <w:hideMark/>
          </w:tcPr>
          <w:p w14:paraId="1D8504F8" w14:textId="77777777" w:rsidR="00933542" w:rsidRPr="008675CA" w:rsidRDefault="00933542" w:rsidP="003D4573">
            <w:pPr>
              <w:jc w:val="center"/>
              <w:rPr>
                <w:rFonts w:asciiTheme="majorHAnsi" w:eastAsia="Times New Roman" w:hAnsiTheme="majorHAnsi" w:cs="Calibri"/>
              </w:rPr>
            </w:pPr>
            <w:r w:rsidRPr="008675CA">
              <w:rPr>
                <w:rFonts w:asciiTheme="majorHAnsi" w:eastAsia="Times New Roman" w:hAnsiTheme="majorHAnsi" w:cs="Calibri"/>
              </w:rPr>
              <w:t>1.</w:t>
            </w:r>
          </w:p>
        </w:tc>
        <w:tc>
          <w:tcPr>
            <w:tcW w:w="3255" w:type="pct"/>
            <w:shd w:val="clear" w:color="auto" w:fill="auto"/>
            <w:noWrap/>
            <w:hideMark/>
          </w:tcPr>
          <w:p w14:paraId="131C6E0C" w14:textId="77777777" w:rsidR="00933542" w:rsidRPr="008675CA" w:rsidRDefault="00933542" w:rsidP="003D4573">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rPr>
            </w:pPr>
            <w:r w:rsidRPr="008675CA">
              <w:rPr>
                <w:rFonts w:asciiTheme="majorHAnsi" w:eastAsia="Times New Roman" w:hAnsiTheme="majorHAnsi" w:cs="Calibri"/>
              </w:rPr>
              <w:t>Opening GFA (INR Cr.)</w:t>
            </w:r>
          </w:p>
        </w:tc>
        <w:tc>
          <w:tcPr>
            <w:tcW w:w="1174" w:type="pct"/>
          </w:tcPr>
          <w:p w14:paraId="44B66E91" w14:textId="77777777" w:rsidR="00933542" w:rsidRPr="008675CA" w:rsidRDefault="00362929" w:rsidP="003D4573">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rPr>
            </w:pPr>
            <w:r w:rsidRPr="008675CA">
              <w:rPr>
                <w:rFonts w:asciiTheme="majorHAnsi" w:eastAsia="Times New Roman" w:hAnsiTheme="majorHAnsi" w:cs="Calibri"/>
              </w:rPr>
              <w:t>1285.71</w:t>
            </w:r>
          </w:p>
        </w:tc>
      </w:tr>
      <w:tr w:rsidR="00933542" w:rsidRPr="008675CA" w14:paraId="7784DA32" w14:textId="77777777" w:rsidTr="007D745E">
        <w:trPr>
          <w:trHeight w:val="268"/>
        </w:trPr>
        <w:tc>
          <w:tcPr>
            <w:cnfStyle w:val="001000000000" w:firstRow="0" w:lastRow="0" w:firstColumn="1" w:lastColumn="0" w:oddVBand="0" w:evenVBand="0" w:oddHBand="0" w:evenHBand="0" w:firstRowFirstColumn="0" w:firstRowLastColumn="0" w:lastRowFirstColumn="0" w:lastRowLastColumn="0"/>
            <w:tcW w:w="571" w:type="pct"/>
            <w:shd w:val="clear" w:color="auto" w:fill="auto"/>
            <w:noWrap/>
            <w:hideMark/>
          </w:tcPr>
          <w:p w14:paraId="4E11F081" w14:textId="77777777" w:rsidR="00933542" w:rsidRPr="008675CA" w:rsidRDefault="00933542" w:rsidP="003D4573">
            <w:pPr>
              <w:jc w:val="center"/>
              <w:rPr>
                <w:rFonts w:asciiTheme="majorHAnsi" w:eastAsia="Times New Roman" w:hAnsiTheme="majorHAnsi" w:cs="Calibri"/>
              </w:rPr>
            </w:pPr>
            <w:r w:rsidRPr="008675CA">
              <w:rPr>
                <w:rFonts w:asciiTheme="majorHAnsi" w:eastAsia="Times New Roman" w:hAnsiTheme="majorHAnsi" w:cs="Calibri"/>
              </w:rPr>
              <w:t>2.</w:t>
            </w:r>
          </w:p>
        </w:tc>
        <w:tc>
          <w:tcPr>
            <w:tcW w:w="3255" w:type="pct"/>
            <w:shd w:val="clear" w:color="auto" w:fill="auto"/>
            <w:noWrap/>
            <w:hideMark/>
          </w:tcPr>
          <w:p w14:paraId="2144551D" w14:textId="77777777" w:rsidR="00933542" w:rsidRPr="008675CA" w:rsidRDefault="00933542" w:rsidP="003D4573">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rPr>
            </w:pPr>
            <w:r w:rsidRPr="008675CA">
              <w:rPr>
                <w:rFonts w:asciiTheme="majorHAnsi" w:eastAsia="Times New Roman" w:hAnsiTheme="majorHAnsi" w:cs="Calibri"/>
              </w:rPr>
              <w:t>Additions during (INR Cr.)</w:t>
            </w:r>
          </w:p>
        </w:tc>
        <w:tc>
          <w:tcPr>
            <w:tcW w:w="1174" w:type="pct"/>
            <w:shd w:val="clear" w:color="auto" w:fill="auto"/>
          </w:tcPr>
          <w:p w14:paraId="5582019D" w14:textId="77777777" w:rsidR="00933542" w:rsidRPr="008675CA" w:rsidRDefault="00362929" w:rsidP="003D457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rPr>
            </w:pPr>
            <w:r w:rsidRPr="008675CA">
              <w:rPr>
                <w:rFonts w:asciiTheme="majorHAnsi" w:eastAsia="Times New Roman" w:hAnsiTheme="majorHAnsi" w:cs="Calibri"/>
              </w:rPr>
              <w:t>0.00</w:t>
            </w:r>
          </w:p>
        </w:tc>
      </w:tr>
      <w:tr w:rsidR="00933542" w:rsidRPr="008675CA" w14:paraId="1196740E" w14:textId="77777777" w:rsidTr="007D745E">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571" w:type="pct"/>
            <w:shd w:val="clear" w:color="auto" w:fill="auto"/>
            <w:noWrap/>
            <w:hideMark/>
          </w:tcPr>
          <w:p w14:paraId="3EB39B29" w14:textId="77777777" w:rsidR="00933542" w:rsidRPr="008675CA" w:rsidRDefault="00933542" w:rsidP="003D4573">
            <w:pPr>
              <w:jc w:val="center"/>
              <w:rPr>
                <w:rFonts w:asciiTheme="majorHAnsi" w:eastAsia="Times New Roman" w:hAnsiTheme="majorHAnsi" w:cs="Calibri"/>
              </w:rPr>
            </w:pPr>
            <w:r w:rsidRPr="008675CA">
              <w:rPr>
                <w:rFonts w:asciiTheme="majorHAnsi" w:eastAsia="Times New Roman" w:hAnsiTheme="majorHAnsi" w:cs="Calibri"/>
              </w:rPr>
              <w:t>3.</w:t>
            </w:r>
          </w:p>
        </w:tc>
        <w:tc>
          <w:tcPr>
            <w:tcW w:w="3255" w:type="pct"/>
            <w:shd w:val="clear" w:color="auto" w:fill="auto"/>
            <w:noWrap/>
            <w:hideMark/>
          </w:tcPr>
          <w:p w14:paraId="0B545C6C" w14:textId="77777777" w:rsidR="00933542" w:rsidRPr="008675CA" w:rsidRDefault="00933542" w:rsidP="003D4573">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rPr>
            </w:pPr>
            <w:r w:rsidRPr="008675CA">
              <w:rPr>
                <w:rFonts w:asciiTheme="majorHAnsi" w:eastAsia="Times New Roman" w:hAnsiTheme="majorHAnsi" w:cs="Calibri"/>
              </w:rPr>
              <w:t>Withdrawals during (INR Cr.)</w:t>
            </w:r>
          </w:p>
        </w:tc>
        <w:tc>
          <w:tcPr>
            <w:tcW w:w="1174" w:type="pct"/>
          </w:tcPr>
          <w:p w14:paraId="3E6A5D9F" w14:textId="77777777" w:rsidR="00933542" w:rsidRPr="008675CA" w:rsidRDefault="00933542" w:rsidP="003D4573">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rPr>
            </w:pPr>
            <w:r w:rsidRPr="008675CA">
              <w:rPr>
                <w:rFonts w:asciiTheme="majorHAnsi" w:eastAsia="Times New Roman" w:hAnsiTheme="majorHAnsi" w:cs="Calibri"/>
              </w:rPr>
              <w:t>0.00</w:t>
            </w:r>
          </w:p>
        </w:tc>
      </w:tr>
      <w:tr w:rsidR="00933542" w:rsidRPr="008675CA" w14:paraId="34C67DE1" w14:textId="77777777" w:rsidTr="007D745E">
        <w:trPr>
          <w:trHeight w:val="268"/>
        </w:trPr>
        <w:tc>
          <w:tcPr>
            <w:cnfStyle w:val="001000000000" w:firstRow="0" w:lastRow="0" w:firstColumn="1" w:lastColumn="0" w:oddVBand="0" w:evenVBand="0" w:oddHBand="0" w:evenHBand="0" w:firstRowFirstColumn="0" w:firstRowLastColumn="0" w:lastRowFirstColumn="0" w:lastRowLastColumn="0"/>
            <w:tcW w:w="571" w:type="pct"/>
            <w:shd w:val="clear" w:color="auto" w:fill="auto"/>
            <w:noWrap/>
            <w:hideMark/>
          </w:tcPr>
          <w:p w14:paraId="53EF0803" w14:textId="77777777" w:rsidR="00933542" w:rsidRPr="008675CA" w:rsidRDefault="00933542" w:rsidP="003D4573">
            <w:pPr>
              <w:jc w:val="center"/>
              <w:rPr>
                <w:rFonts w:asciiTheme="majorHAnsi" w:eastAsia="Times New Roman" w:hAnsiTheme="majorHAnsi" w:cs="Calibri"/>
              </w:rPr>
            </w:pPr>
            <w:r w:rsidRPr="008675CA">
              <w:rPr>
                <w:rFonts w:asciiTheme="majorHAnsi" w:eastAsia="Times New Roman" w:hAnsiTheme="majorHAnsi" w:cs="Calibri"/>
              </w:rPr>
              <w:t>4.</w:t>
            </w:r>
          </w:p>
        </w:tc>
        <w:tc>
          <w:tcPr>
            <w:tcW w:w="3255" w:type="pct"/>
            <w:shd w:val="clear" w:color="auto" w:fill="auto"/>
            <w:noWrap/>
            <w:hideMark/>
          </w:tcPr>
          <w:p w14:paraId="14134D82" w14:textId="77777777" w:rsidR="00933542" w:rsidRPr="008675CA" w:rsidRDefault="00933542" w:rsidP="003D4573">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rPr>
            </w:pPr>
            <w:r w:rsidRPr="008675CA">
              <w:rPr>
                <w:rFonts w:asciiTheme="majorHAnsi" w:eastAsia="Times New Roman" w:hAnsiTheme="majorHAnsi" w:cs="Calibri"/>
              </w:rPr>
              <w:t>Closing GFA (INR Cr.)</w:t>
            </w:r>
          </w:p>
        </w:tc>
        <w:tc>
          <w:tcPr>
            <w:tcW w:w="1174" w:type="pct"/>
            <w:shd w:val="clear" w:color="auto" w:fill="auto"/>
          </w:tcPr>
          <w:p w14:paraId="439135B7" w14:textId="77777777" w:rsidR="00933542" w:rsidRPr="008675CA" w:rsidRDefault="00933542" w:rsidP="0036292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rPr>
            </w:pPr>
            <w:r w:rsidRPr="008675CA">
              <w:rPr>
                <w:rFonts w:asciiTheme="majorHAnsi" w:eastAsia="Times New Roman" w:hAnsiTheme="majorHAnsi" w:cs="Calibri"/>
              </w:rPr>
              <w:t>1285.</w:t>
            </w:r>
            <w:r w:rsidR="00362929" w:rsidRPr="008675CA">
              <w:rPr>
                <w:rFonts w:asciiTheme="majorHAnsi" w:eastAsia="Times New Roman" w:hAnsiTheme="majorHAnsi" w:cs="Calibri"/>
              </w:rPr>
              <w:t>71</w:t>
            </w:r>
          </w:p>
        </w:tc>
      </w:tr>
      <w:tr w:rsidR="00933542" w:rsidRPr="008675CA" w14:paraId="16F0C627" w14:textId="77777777" w:rsidTr="007D745E">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571" w:type="pct"/>
            <w:shd w:val="clear" w:color="auto" w:fill="auto"/>
            <w:noWrap/>
          </w:tcPr>
          <w:p w14:paraId="3DD7F6C2" w14:textId="77777777" w:rsidR="00933542" w:rsidRPr="008675CA" w:rsidRDefault="00933542" w:rsidP="003D4573">
            <w:pPr>
              <w:jc w:val="center"/>
              <w:rPr>
                <w:rFonts w:asciiTheme="majorHAnsi" w:eastAsia="Times New Roman" w:hAnsiTheme="majorHAnsi" w:cs="Calibri"/>
              </w:rPr>
            </w:pPr>
            <w:r w:rsidRPr="008675CA">
              <w:rPr>
                <w:rFonts w:asciiTheme="majorHAnsi" w:eastAsia="Times New Roman" w:hAnsiTheme="majorHAnsi" w:cs="Calibri"/>
              </w:rPr>
              <w:t>5.</w:t>
            </w:r>
          </w:p>
        </w:tc>
        <w:tc>
          <w:tcPr>
            <w:tcW w:w="3255" w:type="pct"/>
            <w:shd w:val="clear" w:color="auto" w:fill="auto"/>
            <w:noWrap/>
          </w:tcPr>
          <w:p w14:paraId="21223809" w14:textId="77777777" w:rsidR="00933542" w:rsidRPr="008675CA" w:rsidRDefault="00933542" w:rsidP="003D4573">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rPr>
            </w:pPr>
            <w:r w:rsidRPr="008675CA">
              <w:rPr>
                <w:rFonts w:asciiTheme="majorHAnsi" w:eastAsia="Times New Roman" w:hAnsiTheme="majorHAnsi" w:cs="Calibri"/>
              </w:rPr>
              <w:t>90% of the Average Assets (INR Cr.)</w:t>
            </w:r>
          </w:p>
        </w:tc>
        <w:tc>
          <w:tcPr>
            <w:tcW w:w="1174" w:type="pct"/>
          </w:tcPr>
          <w:p w14:paraId="38CC76A7" w14:textId="77777777" w:rsidR="00933542" w:rsidRPr="008675CA" w:rsidRDefault="00362929" w:rsidP="003D4573">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rPr>
            </w:pPr>
            <w:r w:rsidRPr="008675CA">
              <w:rPr>
                <w:rFonts w:asciiTheme="majorHAnsi" w:eastAsia="Times New Roman" w:hAnsiTheme="majorHAnsi" w:cs="Calibri"/>
              </w:rPr>
              <w:t>1135.62</w:t>
            </w:r>
          </w:p>
        </w:tc>
      </w:tr>
      <w:tr w:rsidR="00933542" w:rsidRPr="008675CA" w14:paraId="1CDBF478" w14:textId="77777777" w:rsidTr="007D745E">
        <w:trPr>
          <w:trHeight w:val="268"/>
        </w:trPr>
        <w:tc>
          <w:tcPr>
            <w:cnfStyle w:val="001000000000" w:firstRow="0" w:lastRow="0" w:firstColumn="1" w:lastColumn="0" w:oddVBand="0" w:evenVBand="0" w:oddHBand="0" w:evenHBand="0" w:firstRowFirstColumn="0" w:firstRowLastColumn="0" w:lastRowFirstColumn="0" w:lastRowLastColumn="0"/>
            <w:tcW w:w="571" w:type="pct"/>
            <w:shd w:val="clear" w:color="auto" w:fill="auto"/>
            <w:noWrap/>
            <w:hideMark/>
          </w:tcPr>
          <w:p w14:paraId="2DEE85B5" w14:textId="77777777" w:rsidR="00933542" w:rsidRPr="008675CA" w:rsidRDefault="00933542" w:rsidP="003D4573">
            <w:pPr>
              <w:jc w:val="center"/>
              <w:rPr>
                <w:rFonts w:asciiTheme="majorHAnsi" w:eastAsia="Times New Roman" w:hAnsiTheme="majorHAnsi" w:cs="Calibri"/>
              </w:rPr>
            </w:pPr>
            <w:r w:rsidRPr="008675CA">
              <w:rPr>
                <w:rFonts w:asciiTheme="majorHAnsi" w:eastAsia="Times New Roman" w:hAnsiTheme="majorHAnsi" w:cs="Calibri"/>
              </w:rPr>
              <w:t>6.</w:t>
            </w:r>
          </w:p>
        </w:tc>
        <w:tc>
          <w:tcPr>
            <w:tcW w:w="3255" w:type="pct"/>
            <w:shd w:val="clear" w:color="auto" w:fill="auto"/>
            <w:noWrap/>
          </w:tcPr>
          <w:p w14:paraId="328C4BCB" w14:textId="77777777" w:rsidR="00933542" w:rsidRPr="008675CA" w:rsidRDefault="00933542" w:rsidP="003D4573">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rPr>
            </w:pPr>
            <w:r w:rsidRPr="008675CA">
              <w:rPr>
                <w:rFonts w:asciiTheme="majorHAnsi" w:eastAsia="Times New Roman" w:hAnsiTheme="majorHAnsi" w:cs="Calibri"/>
              </w:rPr>
              <w:t xml:space="preserve">Average rate of Depreciation computed </w:t>
            </w:r>
          </w:p>
        </w:tc>
        <w:tc>
          <w:tcPr>
            <w:tcW w:w="1174" w:type="pct"/>
            <w:shd w:val="clear" w:color="auto" w:fill="auto"/>
          </w:tcPr>
          <w:p w14:paraId="4B4478D2" w14:textId="77777777" w:rsidR="00933542" w:rsidRPr="008675CA" w:rsidRDefault="00933542" w:rsidP="0036292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rPr>
            </w:pPr>
            <w:r w:rsidRPr="008675CA">
              <w:rPr>
                <w:rFonts w:asciiTheme="majorHAnsi" w:eastAsia="Times New Roman" w:hAnsiTheme="majorHAnsi" w:cs="Calibri"/>
              </w:rPr>
              <w:t>4.</w:t>
            </w:r>
            <w:r w:rsidR="00362929" w:rsidRPr="008675CA">
              <w:rPr>
                <w:rFonts w:asciiTheme="majorHAnsi" w:eastAsia="Times New Roman" w:hAnsiTheme="majorHAnsi" w:cs="Calibri"/>
              </w:rPr>
              <w:t>30</w:t>
            </w:r>
            <w:r w:rsidRPr="008675CA">
              <w:rPr>
                <w:rFonts w:asciiTheme="majorHAnsi" w:eastAsia="Times New Roman" w:hAnsiTheme="majorHAnsi" w:cs="Calibri"/>
              </w:rPr>
              <w:t>%</w:t>
            </w:r>
          </w:p>
        </w:tc>
      </w:tr>
      <w:tr w:rsidR="00933542" w:rsidRPr="008675CA" w14:paraId="2A65D390" w14:textId="77777777" w:rsidTr="007D745E">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571" w:type="pct"/>
            <w:shd w:val="clear" w:color="auto" w:fill="auto"/>
            <w:noWrap/>
            <w:hideMark/>
          </w:tcPr>
          <w:p w14:paraId="3D3E73D0" w14:textId="77777777" w:rsidR="00933542" w:rsidRPr="008675CA" w:rsidRDefault="00933542" w:rsidP="003D4573">
            <w:pPr>
              <w:jc w:val="center"/>
              <w:rPr>
                <w:rFonts w:asciiTheme="majorHAnsi" w:eastAsia="Times New Roman" w:hAnsiTheme="majorHAnsi" w:cs="Calibri"/>
              </w:rPr>
            </w:pPr>
            <w:r w:rsidRPr="008675CA">
              <w:rPr>
                <w:rFonts w:asciiTheme="majorHAnsi" w:eastAsia="Times New Roman" w:hAnsiTheme="majorHAnsi" w:cs="Calibri"/>
              </w:rPr>
              <w:t>7.</w:t>
            </w:r>
          </w:p>
        </w:tc>
        <w:tc>
          <w:tcPr>
            <w:tcW w:w="3255" w:type="pct"/>
            <w:shd w:val="clear" w:color="auto" w:fill="auto"/>
            <w:noWrap/>
          </w:tcPr>
          <w:p w14:paraId="1FEDD2B3" w14:textId="77777777" w:rsidR="00933542" w:rsidRPr="00FE326D" w:rsidRDefault="00933542" w:rsidP="003D4573">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rPr>
            </w:pPr>
            <w:r w:rsidRPr="00FE326D">
              <w:rPr>
                <w:rFonts w:asciiTheme="majorHAnsi" w:eastAsia="Times New Roman" w:hAnsiTheme="majorHAnsi" w:cs="Calibri"/>
              </w:rPr>
              <w:t>Average Grant (INR cr)</w:t>
            </w:r>
          </w:p>
        </w:tc>
        <w:tc>
          <w:tcPr>
            <w:tcW w:w="1174" w:type="pct"/>
          </w:tcPr>
          <w:p w14:paraId="01B8D23B" w14:textId="77777777" w:rsidR="00933542" w:rsidRPr="00FE326D" w:rsidRDefault="00362929" w:rsidP="003D4573">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rPr>
            </w:pPr>
            <w:r w:rsidRPr="00FE326D">
              <w:rPr>
                <w:rFonts w:asciiTheme="majorHAnsi" w:eastAsia="Times New Roman" w:hAnsiTheme="majorHAnsi" w:cs="Calibri"/>
              </w:rPr>
              <w:t>209.89</w:t>
            </w:r>
          </w:p>
        </w:tc>
      </w:tr>
      <w:tr w:rsidR="00933542" w:rsidRPr="008675CA" w14:paraId="66E2B7C9" w14:textId="77777777" w:rsidTr="007D745E">
        <w:trPr>
          <w:trHeight w:val="268"/>
        </w:trPr>
        <w:tc>
          <w:tcPr>
            <w:cnfStyle w:val="001000000000" w:firstRow="0" w:lastRow="0" w:firstColumn="1" w:lastColumn="0" w:oddVBand="0" w:evenVBand="0" w:oddHBand="0" w:evenHBand="0" w:firstRowFirstColumn="0" w:firstRowLastColumn="0" w:lastRowFirstColumn="0" w:lastRowLastColumn="0"/>
            <w:tcW w:w="571" w:type="pct"/>
            <w:shd w:val="clear" w:color="auto" w:fill="auto"/>
            <w:noWrap/>
            <w:hideMark/>
          </w:tcPr>
          <w:p w14:paraId="1F7202A6" w14:textId="77777777" w:rsidR="00933542" w:rsidRPr="008675CA" w:rsidRDefault="00933542" w:rsidP="003D4573">
            <w:pPr>
              <w:jc w:val="center"/>
              <w:rPr>
                <w:rFonts w:asciiTheme="majorHAnsi" w:eastAsia="Times New Roman" w:hAnsiTheme="majorHAnsi" w:cs="Calibri"/>
              </w:rPr>
            </w:pPr>
            <w:r w:rsidRPr="008675CA">
              <w:rPr>
                <w:rFonts w:asciiTheme="majorHAnsi" w:eastAsia="Times New Roman" w:hAnsiTheme="majorHAnsi" w:cs="Calibri"/>
              </w:rPr>
              <w:t>8.</w:t>
            </w:r>
          </w:p>
        </w:tc>
        <w:tc>
          <w:tcPr>
            <w:tcW w:w="3255" w:type="pct"/>
            <w:shd w:val="clear" w:color="auto" w:fill="auto"/>
            <w:noWrap/>
          </w:tcPr>
          <w:p w14:paraId="73DC61C9" w14:textId="77777777" w:rsidR="00933542" w:rsidRPr="008675CA" w:rsidRDefault="00933542" w:rsidP="003D4573">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rPr>
            </w:pPr>
            <w:r w:rsidRPr="008675CA">
              <w:rPr>
                <w:rFonts w:asciiTheme="majorHAnsi" w:eastAsia="Times New Roman" w:hAnsiTheme="majorHAnsi" w:cs="Calibri"/>
                <w:b/>
              </w:rPr>
              <w:t>Depreciation (INR Cr.)</w:t>
            </w:r>
          </w:p>
        </w:tc>
        <w:tc>
          <w:tcPr>
            <w:tcW w:w="1174" w:type="pct"/>
            <w:shd w:val="clear" w:color="auto" w:fill="auto"/>
          </w:tcPr>
          <w:p w14:paraId="68A040CC" w14:textId="77777777" w:rsidR="00933542" w:rsidRPr="008675CA" w:rsidRDefault="00362929" w:rsidP="003D457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rPr>
            </w:pPr>
            <w:r w:rsidRPr="008675CA">
              <w:rPr>
                <w:rFonts w:asciiTheme="majorHAnsi" w:eastAsia="Times New Roman" w:hAnsiTheme="majorHAnsi" w:cs="Calibri"/>
                <w:b/>
              </w:rPr>
              <w:t>46.25</w:t>
            </w:r>
          </w:p>
        </w:tc>
      </w:tr>
    </w:tbl>
    <w:p w14:paraId="22B18685" w14:textId="77777777" w:rsidR="00362929" w:rsidRPr="008675CA" w:rsidRDefault="00362929" w:rsidP="00DA77FC">
      <w:pPr>
        <w:spacing w:after="0"/>
        <w:ind w:left="360"/>
        <w:jc w:val="both"/>
        <w:rPr>
          <w:rFonts w:asciiTheme="majorHAnsi" w:hAnsiTheme="majorHAnsi"/>
        </w:rPr>
      </w:pPr>
    </w:p>
    <w:p w14:paraId="0F825065" w14:textId="77777777" w:rsidR="00DA77FC" w:rsidRPr="008675CA" w:rsidRDefault="00DA77FC" w:rsidP="007D745E">
      <w:pPr>
        <w:spacing w:after="0"/>
        <w:jc w:val="both"/>
        <w:rPr>
          <w:rFonts w:asciiTheme="majorHAnsi" w:hAnsiTheme="majorHAnsi"/>
        </w:rPr>
      </w:pPr>
      <w:r w:rsidRPr="008675CA">
        <w:rPr>
          <w:rFonts w:asciiTheme="majorHAnsi" w:hAnsiTheme="majorHAnsi"/>
        </w:rPr>
        <w:t>On account of the incorrect methodology and flaws inherent in it and based on the asset value requested to be considered above, MePGCL  prays before the Hon’ble Commission to kindly allow the depreciation as claimed in true up petition.</w:t>
      </w:r>
    </w:p>
    <w:p w14:paraId="1552EF63" w14:textId="77777777" w:rsidR="00DA77FC" w:rsidRPr="008675CA" w:rsidRDefault="00DA77FC" w:rsidP="00DA77FC">
      <w:pPr>
        <w:spacing w:after="0"/>
        <w:ind w:left="360"/>
        <w:jc w:val="both"/>
        <w:rPr>
          <w:rFonts w:asciiTheme="majorHAnsi" w:hAnsiTheme="majorHAnsi"/>
        </w:rPr>
      </w:pPr>
    </w:p>
    <w:p w14:paraId="29B66163" w14:textId="77777777" w:rsidR="00DA77FC" w:rsidRPr="008675CA" w:rsidRDefault="00DA77FC" w:rsidP="00DA77FC">
      <w:pPr>
        <w:pStyle w:val="Caption"/>
        <w:keepNext/>
        <w:spacing w:after="0"/>
        <w:ind w:left="360"/>
        <w:jc w:val="center"/>
        <w:rPr>
          <w:rFonts w:asciiTheme="majorHAnsi" w:hAnsiTheme="majorHAnsi"/>
          <w:b/>
          <w:i w:val="0"/>
          <w:color w:val="auto"/>
          <w:sz w:val="22"/>
          <w:szCs w:val="22"/>
        </w:rPr>
      </w:pPr>
      <w:r w:rsidRPr="008675CA">
        <w:rPr>
          <w:rFonts w:asciiTheme="majorHAnsi" w:hAnsiTheme="majorHAnsi"/>
          <w:b/>
          <w:i w:val="0"/>
          <w:color w:val="auto"/>
          <w:sz w:val="22"/>
          <w:szCs w:val="22"/>
        </w:rPr>
        <w:t>Table</w:t>
      </w:r>
      <w:r w:rsidR="00BC407B" w:rsidRPr="008675CA">
        <w:rPr>
          <w:rFonts w:asciiTheme="majorHAnsi" w:hAnsiTheme="majorHAnsi"/>
          <w:b/>
          <w:i w:val="0"/>
          <w:color w:val="auto"/>
          <w:sz w:val="22"/>
          <w:szCs w:val="22"/>
        </w:rPr>
        <w:t xml:space="preserve"> </w:t>
      </w:r>
      <w:r w:rsidR="00937755">
        <w:rPr>
          <w:rFonts w:asciiTheme="majorHAnsi" w:hAnsiTheme="majorHAnsi"/>
          <w:b/>
          <w:i w:val="0"/>
          <w:color w:val="auto"/>
          <w:sz w:val="22"/>
          <w:szCs w:val="22"/>
        </w:rPr>
        <w:t>3</w:t>
      </w:r>
      <w:r w:rsidRPr="008675CA">
        <w:rPr>
          <w:rFonts w:asciiTheme="majorHAnsi" w:hAnsiTheme="majorHAnsi"/>
          <w:b/>
          <w:i w:val="0"/>
          <w:color w:val="auto"/>
          <w:sz w:val="22"/>
          <w:szCs w:val="22"/>
        </w:rPr>
        <w:t>: Additional Depreciation Claim of MePGCL in Review (</w:t>
      </w:r>
      <w:r w:rsidR="00362929" w:rsidRPr="008675CA">
        <w:rPr>
          <w:rFonts w:asciiTheme="majorHAnsi" w:hAnsiTheme="majorHAnsi"/>
          <w:b/>
          <w:i w:val="0"/>
          <w:color w:val="auto"/>
          <w:sz w:val="22"/>
          <w:szCs w:val="22"/>
        </w:rPr>
        <w:t>Rs.</w:t>
      </w:r>
      <w:r w:rsidRPr="008675CA">
        <w:rPr>
          <w:rFonts w:asciiTheme="majorHAnsi" w:hAnsiTheme="majorHAnsi"/>
          <w:b/>
          <w:i w:val="0"/>
          <w:color w:val="auto"/>
          <w:sz w:val="22"/>
          <w:szCs w:val="22"/>
        </w:rPr>
        <w:t xml:space="preserve"> Cr.)</w:t>
      </w:r>
    </w:p>
    <w:tbl>
      <w:tblPr>
        <w:tblStyle w:val="TableGrid"/>
        <w:tblW w:w="4537" w:type="pct"/>
        <w:tblInd w:w="355" w:type="dxa"/>
        <w:tblLook w:val="04A0" w:firstRow="1" w:lastRow="0" w:firstColumn="1" w:lastColumn="0" w:noHBand="0" w:noVBand="1"/>
      </w:tblPr>
      <w:tblGrid>
        <w:gridCol w:w="6975"/>
        <w:gridCol w:w="1947"/>
      </w:tblGrid>
      <w:tr w:rsidR="00933542" w:rsidRPr="008675CA" w14:paraId="75C4FF30" w14:textId="77777777" w:rsidTr="00933542">
        <w:trPr>
          <w:trHeight w:val="102"/>
          <w:tblHeader/>
        </w:trPr>
        <w:tc>
          <w:tcPr>
            <w:tcW w:w="3909" w:type="pct"/>
            <w:shd w:val="clear" w:color="auto" w:fill="BFBFBF" w:themeFill="background1" w:themeFillShade="BF"/>
          </w:tcPr>
          <w:p w14:paraId="54C2E430" w14:textId="77777777" w:rsidR="00933542" w:rsidRPr="008675CA" w:rsidRDefault="00933542" w:rsidP="003D4573">
            <w:pPr>
              <w:pStyle w:val="ListParagraph"/>
              <w:ind w:left="0"/>
              <w:jc w:val="both"/>
              <w:rPr>
                <w:rFonts w:asciiTheme="majorHAnsi" w:hAnsiTheme="majorHAnsi"/>
                <w:b/>
                <w:szCs w:val="22"/>
              </w:rPr>
            </w:pPr>
            <w:r w:rsidRPr="008675CA">
              <w:rPr>
                <w:rFonts w:asciiTheme="majorHAnsi" w:hAnsiTheme="majorHAnsi"/>
                <w:b/>
                <w:szCs w:val="22"/>
              </w:rPr>
              <w:t>Particulars</w:t>
            </w:r>
          </w:p>
        </w:tc>
        <w:tc>
          <w:tcPr>
            <w:tcW w:w="1091" w:type="pct"/>
            <w:shd w:val="clear" w:color="auto" w:fill="BFBFBF" w:themeFill="background1" w:themeFillShade="BF"/>
          </w:tcPr>
          <w:p w14:paraId="53B8DB61" w14:textId="77777777" w:rsidR="00933542" w:rsidRPr="008675CA" w:rsidRDefault="00933542" w:rsidP="00362929">
            <w:pPr>
              <w:pStyle w:val="ListParagraph"/>
              <w:ind w:left="0"/>
              <w:jc w:val="center"/>
              <w:rPr>
                <w:rFonts w:asciiTheme="majorHAnsi" w:hAnsiTheme="majorHAnsi"/>
                <w:b/>
                <w:szCs w:val="22"/>
              </w:rPr>
            </w:pPr>
            <w:r w:rsidRPr="008675CA">
              <w:rPr>
                <w:rFonts w:asciiTheme="majorHAnsi" w:hAnsiTheme="majorHAnsi"/>
                <w:b/>
                <w:szCs w:val="22"/>
              </w:rPr>
              <w:t xml:space="preserve">FY </w:t>
            </w:r>
            <w:r w:rsidR="00362929" w:rsidRPr="008675CA">
              <w:rPr>
                <w:rFonts w:asciiTheme="majorHAnsi" w:hAnsiTheme="majorHAnsi"/>
                <w:b/>
                <w:szCs w:val="22"/>
              </w:rPr>
              <w:t>2020-21</w:t>
            </w:r>
          </w:p>
        </w:tc>
      </w:tr>
      <w:tr w:rsidR="00933542" w:rsidRPr="008675CA" w14:paraId="37CF4959" w14:textId="77777777" w:rsidTr="00EC3BC5">
        <w:trPr>
          <w:trHeight w:val="287"/>
        </w:trPr>
        <w:tc>
          <w:tcPr>
            <w:tcW w:w="3909" w:type="pct"/>
          </w:tcPr>
          <w:p w14:paraId="217EC44F" w14:textId="77777777" w:rsidR="00933542" w:rsidRPr="008675CA" w:rsidRDefault="00933542" w:rsidP="003D4573">
            <w:pPr>
              <w:pStyle w:val="ListParagraph"/>
              <w:ind w:left="0"/>
              <w:jc w:val="both"/>
              <w:rPr>
                <w:rFonts w:asciiTheme="majorHAnsi" w:hAnsiTheme="majorHAnsi"/>
                <w:szCs w:val="22"/>
              </w:rPr>
            </w:pPr>
            <w:r w:rsidRPr="008675CA">
              <w:rPr>
                <w:rFonts w:asciiTheme="majorHAnsi" w:hAnsiTheme="majorHAnsi"/>
                <w:szCs w:val="22"/>
              </w:rPr>
              <w:t>MePGCL’s Claim of Depreciation for MLHEP (1)</w:t>
            </w:r>
          </w:p>
        </w:tc>
        <w:tc>
          <w:tcPr>
            <w:tcW w:w="1091" w:type="pct"/>
          </w:tcPr>
          <w:p w14:paraId="173DC585" w14:textId="77777777" w:rsidR="00933542" w:rsidRPr="008675CA" w:rsidRDefault="00933542" w:rsidP="003D4573">
            <w:pPr>
              <w:pStyle w:val="Default"/>
              <w:jc w:val="center"/>
              <w:rPr>
                <w:rFonts w:asciiTheme="majorHAnsi" w:hAnsiTheme="majorHAnsi"/>
                <w:color w:val="auto"/>
                <w:sz w:val="22"/>
                <w:szCs w:val="22"/>
              </w:rPr>
            </w:pPr>
            <w:r w:rsidRPr="008675CA">
              <w:rPr>
                <w:rFonts w:asciiTheme="majorHAnsi" w:hAnsiTheme="majorHAnsi"/>
                <w:color w:val="auto"/>
                <w:sz w:val="22"/>
                <w:szCs w:val="22"/>
              </w:rPr>
              <w:t>61.41</w:t>
            </w:r>
          </w:p>
        </w:tc>
      </w:tr>
      <w:tr w:rsidR="00933542" w:rsidRPr="008675CA" w14:paraId="0EF31E9A" w14:textId="77777777" w:rsidTr="00EC3BC5">
        <w:trPr>
          <w:trHeight w:val="269"/>
        </w:trPr>
        <w:tc>
          <w:tcPr>
            <w:tcW w:w="3909" w:type="pct"/>
          </w:tcPr>
          <w:p w14:paraId="263DA07E" w14:textId="77777777" w:rsidR="00933542" w:rsidRPr="008675CA" w:rsidRDefault="00933542" w:rsidP="003D4573">
            <w:pPr>
              <w:pStyle w:val="ListParagraph"/>
              <w:ind w:left="0"/>
              <w:jc w:val="both"/>
              <w:rPr>
                <w:rFonts w:asciiTheme="majorHAnsi" w:hAnsiTheme="majorHAnsi"/>
                <w:szCs w:val="22"/>
              </w:rPr>
            </w:pPr>
            <w:r w:rsidRPr="008675CA">
              <w:rPr>
                <w:rFonts w:asciiTheme="majorHAnsi" w:hAnsiTheme="majorHAnsi"/>
                <w:szCs w:val="22"/>
              </w:rPr>
              <w:t>Depreciation approved by MSERC  in the true up order (2)</w:t>
            </w:r>
          </w:p>
        </w:tc>
        <w:tc>
          <w:tcPr>
            <w:tcW w:w="1091" w:type="pct"/>
          </w:tcPr>
          <w:p w14:paraId="2542CE5A" w14:textId="77777777" w:rsidR="00933542" w:rsidRPr="008675CA" w:rsidRDefault="00362929" w:rsidP="003D4573">
            <w:pPr>
              <w:pStyle w:val="Default"/>
              <w:jc w:val="center"/>
              <w:rPr>
                <w:rFonts w:asciiTheme="majorHAnsi" w:hAnsiTheme="majorHAnsi"/>
                <w:color w:val="auto"/>
                <w:sz w:val="22"/>
                <w:szCs w:val="22"/>
              </w:rPr>
            </w:pPr>
            <w:r w:rsidRPr="008675CA">
              <w:rPr>
                <w:rFonts w:asciiTheme="majorHAnsi" w:hAnsiTheme="majorHAnsi"/>
                <w:color w:val="auto"/>
                <w:sz w:val="22"/>
                <w:szCs w:val="22"/>
              </w:rPr>
              <w:t>46.25</w:t>
            </w:r>
          </w:p>
        </w:tc>
      </w:tr>
      <w:tr w:rsidR="00933542" w:rsidRPr="008675CA" w14:paraId="5730DC8F" w14:textId="77777777" w:rsidTr="00EC3BC5">
        <w:trPr>
          <w:trHeight w:val="251"/>
        </w:trPr>
        <w:tc>
          <w:tcPr>
            <w:tcW w:w="3909" w:type="pct"/>
          </w:tcPr>
          <w:p w14:paraId="1FE9AD80" w14:textId="77777777" w:rsidR="00933542" w:rsidRPr="008675CA" w:rsidRDefault="00933542" w:rsidP="003D4573">
            <w:pPr>
              <w:pStyle w:val="ListParagraph"/>
              <w:ind w:left="0"/>
              <w:jc w:val="both"/>
              <w:rPr>
                <w:rFonts w:asciiTheme="majorHAnsi" w:hAnsiTheme="majorHAnsi"/>
                <w:b/>
                <w:szCs w:val="22"/>
              </w:rPr>
            </w:pPr>
            <w:r w:rsidRPr="008675CA">
              <w:rPr>
                <w:rFonts w:asciiTheme="majorHAnsi" w:hAnsiTheme="majorHAnsi"/>
                <w:b/>
                <w:szCs w:val="22"/>
              </w:rPr>
              <w:t>Gap to be passed in the review petition (1-2)</w:t>
            </w:r>
          </w:p>
        </w:tc>
        <w:tc>
          <w:tcPr>
            <w:tcW w:w="1091" w:type="pct"/>
          </w:tcPr>
          <w:p w14:paraId="62B1B9C6" w14:textId="77777777" w:rsidR="00937AD6" w:rsidRPr="008675CA" w:rsidRDefault="007B2380" w:rsidP="007B2380">
            <w:pPr>
              <w:pStyle w:val="Default"/>
              <w:jc w:val="center"/>
              <w:rPr>
                <w:rFonts w:asciiTheme="majorHAnsi" w:hAnsiTheme="majorHAnsi"/>
                <w:b/>
                <w:color w:val="auto"/>
                <w:sz w:val="22"/>
                <w:szCs w:val="22"/>
              </w:rPr>
            </w:pPr>
            <w:r w:rsidRPr="008675CA">
              <w:rPr>
                <w:rFonts w:asciiTheme="majorHAnsi" w:hAnsiTheme="majorHAnsi"/>
                <w:b/>
                <w:color w:val="auto"/>
                <w:sz w:val="22"/>
                <w:szCs w:val="22"/>
              </w:rPr>
              <w:t>15.16</w:t>
            </w:r>
          </w:p>
        </w:tc>
      </w:tr>
    </w:tbl>
    <w:p w14:paraId="703AB406" w14:textId="77777777" w:rsidR="00912E8F" w:rsidRDefault="00912E8F" w:rsidP="00937755">
      <w:pPr>
        <w:spacing w:after="0"/>
        <w:jc w:val="both"/>
        <w:rPr>
          <w:rFonts w:asciiTheme="majorHAnsi" w:hAnsiTheme="majorHAnsi"/>
        </w:rPr>
      </w:pPr>
    </w:p>
    <w:p w14:paraId="088A4EEA" w14:textId="6BB740B8" w:rsidR="00DA77FC" w:rsidRDefault="00DA77FC" w:rsidP="00937755">
      <w:pPr>
        <w:spacing w:after="0"/>
        <w:jc w:val="both"/>
        <w:rPr>
          <w:rFonts w:asciiTheme="majorHAnsi" w:hAnsiTheme="majorHAnsi"/>
        </w:rPr>
      </w:pPr>
      <w:r w:rsidRPr="008675CA">
        <w:rPr>
          <w:rFonts w:asciiTheme="majorHAnsi" w:hAnsiTheme="majorHAnsi"/>
        </w:rPr>
        <w:t xml:space="preserve">Hence MePGCL requests the Hon’ble Commission to kindly pass an additional amount of </w:t>
      </w:r>
      <w:r w:rsidR="007B2380" w:rsidRPr="008675CA">
        <w:rPr>
          <w:rFonts w:asciiTheme="majorHAnsi" w:hAnsiTheme="majorHAnsi"/>
          <w:b/>
        </w:rPr>
        <w:t xml:space="preserve">Rs. </w:t>
      </w:r>
      <w:r w:rsidRPr="008675CA">
        <w:rPr>
          <w:rFonts w:asciiTheme="majorHAnsi" w:hAnsiTheme="majorHAnsi"/>
          <w:b/>
        </w:rPr>
        <w:t>15.</w:t>
      </w:r>
      <w:r w:rsidR="007B2380" w:rsidRPr="008675CA">
        <w:rPr>
          <w:rFonts w:asciiTheme="majorHAnsi" w:hAnsiTheme="majorHAnsi"/>
          <w:b/>
        </w:rPr>
        <w:t>16</w:t>
      </w:r>
      <w:r w:rsidRPr="008675CA">
        <w:rPr>
          <w:rFonts w:asciiTheme="majorHAnsi" w:hAnsiTheme="majorHAnsi"/>
          <w:b/>
        </w:rPr>
        <w:t xml:space="preserve"> Cr</w:t>
      </w:r>
      <w:r w:rsidR="00BC407B" w:rsidRPr="008675CA">
        <w:rPr>
          <w:rFonts w:asciiTheme="majorHAnsi" w:hAnsiTheme="majorHAnsi"/>
          <w:b/>
        </w:rPr>
        <w:t xml:space="preserve"> </w:t>
      </w:r>
      <w:r w:rsidRPr="008675CA">
        <w:rPr>
          <w:rFonts w:asciiTheme="majorHAnsi" w:hAnsiTheme="majorHAnsi"/>
        </w:rPr>
        <w:t>for depreciation f</w:t>
      </w:r>
      <w:r w:rsidR="007B2380" w:rsidRPr="008675CA">
        <w:rPr>
          <w:rFonts w:asciiTheme="majorHAnsi" w:hAnsiTheme="majorHAnsi"/>
        </w:rPr>
        <w:t>or FY 2020-21</w:t>
      </w:r>
      <w:r w:rsidR="007C46EE" w:rsidRPr="007C46EE">
        <w:rPr>
          <w:rFonts w:asciiTheme="majorHAnsi" w:hAnsiTheme="majorHAnsi"/>
          <w:b/>
        </w:rPr>
        <w:t xml:space="preserve"> to be adjusted in the review petition for FY 2023-24</w:t>
      </w:r>
      <w:r w:rsidRPr="008675CA">
        <w:rPr>
          <w:rFonts w:asciiTheme="majorHAnsi" w:hAnsiTheme="majorHAnsi"/>
        </w:rPr>
        <w:t>.</w:t>
      </w:r>
    </w:p>
    <w:p w14:paraId="2BF1195A" w14:textId="77777777" w:rsidR="0037292C" w:rsidRPr="008675CA" w:rsidRDefault="0037292C" w:rsidP="00937755">
      <w:pPr>
        <w:spacing w:after="0"/>
        <w:jc w:val="both"/>
        <w:rPr>
          <w:rFonts w:asciiTheme="majorHAnsi" w:hAnsiTheme="majorHAnsi"/>
        </w:rPr>
      </w:pPr>
    </w:p>
    <w:p w14:paraId="61AF6830" w14:textId="77777777" w:rsidR="00DA77FC" w:rsidRPr="008675CA" w:rsidRDefault="00372DCD" w:rsidP="00F12881">
      <w:pPr>
        <w:pStyle w:val="Style3"/>
      </w:pPr>
      <w:r w:rsidRPr="008675CA">
        <w:t>2</w:t>
      </w:r>
      <w:r w:rsidR="00F20961" w:rsidRPr="008675CA">
        <w:t>.2</w:t>
      </w:r>
      <w:r w:rsidR="00DA77FC" w:rsidRPr="008675CA">
        <w:t>.2. Return on Equity</w:t>
      </w:r>
    </w:p>
    <w:p w14:paraId="213CDB25" w14:textId="77777777" w:rsidR="00DA77FC" w:rsidRPr="008675CA" w:rsidRDefault="00DA77FC" w:rsidP="00DA77FC">
      <w:pPr>
        <w:spacing w:after="0"/>
        <w:ind w:left="360"/>
        <w:jc w:val="both"/>
        <w:rPr>
          <w:rFonts w:asciiTheme="majorHAnsi" w:hAnsiTheme="majorHAnsi"/>
          <w:b/>
        </w:rPr>
      </w:pPr>
      <w:r w:rsidRPr="008675CA">
        <w:rPr>
          <w:rFonts w:asciiTheme="majorHAnsi" w:hAnsiTheme="majorHAnsi"/>
        </w:rPr>
        <w:t xml:space="preserve">The Hon’ble </w:t>
      </w:r>
      <w:r w:rsidR="007B2380" w:rsidRPr="008675CA">
        <w:rPr>
          <w:rFonts w:asciiTheme="majorHAnsi" w:hAnsiTheme="majorHAnsi"/>
        </w:rPr>
        <w:t>Commission has approved Rs. 45.55</w:t>
      </w:r>
      <w:r w:rsidRPr="008675CA">
        <w:rPr>
          <w:rFonts w:asciiTheme="majorHAnsi" w:hAnsiTheme="majorHAnsi"/>
        </w:rPr>
        <w:t xml:space="preserve"> Cr. for FY </w:t>
      </w:r>
      <w:r w:rsidR="007B2380" w:rsidRPr="008675CA">
        <w:rPr>
          <w:rFonts w:asciiTheme="majorHAnsi" w:hAnsiTheme="majorHAnsi"/>
        </w:rPr>
        <w:t>2020-21</w:t>
      </w:r>
      <w:r w:rsidRPr="008675CA">
        <w:rPr>
          <w:rFonts w:asciiTheme="majorHAnsi" w:hAnsiTheme="majorHAnsi"/>
        </w:rPr>
        <w:t xml:space="preserve"> for RoE in true up order. </w:t>
      </w:r>
      <w:r w:rsidRPr="001651A5">
        <w:rPr>
          <w:rFonts w:asciiTheme="majorHAnsi" w:hAnsiTheme="majorHAnsi"/>
          <w:b/>
          <w:highlight w:val="lightGray"/>
        </w:rPr>
        <w:t xml:space="preserve">The methodology used by the Hon’ble Commission for RoE computation is not in </w:t>
      </w:r>
      <w:r w:rsidRPr="001651A5">
        <w:rPr>
          <w:rFonts w:asciiTheme="majorHAnsi" w:hAnsiTheme="majorHAnsi"/>
          <w:b/>
          <w:highlight w:val="lightGray"/>
        </w:rPr>
        <w:lastRenderedPageBreak/>
        <w:t>line with MSERC (Multi Year Tariff) Regulations, 2014.</w:t>
      </w:r>
      <w:r w:rsidRPr="008675CA">
        <w:rPr>
          <w:rFonts w:asciiTheme="majorHAnsi" w:hAnsiTheme="majorHAnsi"/>
          <w:b/>
        </w:rPr>
        <w:t xml:space="preserve"> The errors in the methodology used by the Hon’ble Commission are submitted below:</w:t>
      </w:r>
    </w:p>
    <w:p w14:paraId="36AFEEE3" w14:textId="77777777" w:rsidR="00DA77FC" w:rsidRPr="00705436" w:rsidRDefault="00DA77FC" w:rsidP="00DA77FC">
      <w:pPr>
        <w:spacing w:after="0"/>
        <w:ind w:left="360"/>
        <w:jc w:val="both"/>
        <w:rPr>
          <w:rFonts w:asciiTheme="majorHAnsi" w:hAnsiTheme="majorHAnsi"/>
          <w:sz w:val="16"/>
        </w:rPr>
      </w:pPr>
    </w:p>
    <w:p w14:paraId="4BC6736D" w14:textId="0B8A9C39" w:rsidR="001651A5" w:rsidRPr="007D745E" w:rsidRDefault="00DA77FC" w:rsidP="001651A5">
      <w:pPr>
        <w:ind w:left="360"/>
        <w:jc w:val="both"/>
        <w:rPr>
          <w:rFonts w:asciiTheme="majorHAnsi" w:hAnsiTheme="majorHAnsi"/>
          <w:b/>
        </w:rPr>
      </w:pPr>
      <w:r w:rsidRPr="008675CA">
        <w:rPr>
          <w:rFonts w:asciiTheme="majorHAnsi" w:hAnsiTheme="majorHAnsi"/>
        </w:rPr>
        <w:t xml:space="preserve">The Hon’ble Commission has considered </w:t>
      </w:r>
      <w:r w:rsidR="00912E8F">
        <w:rPr>
          <w:rFonts w:asciiTheme="majorHAnsi" w:hAnsiTheme="majorHAnsi"/>
        </w:rPr>
        <w:t xml:space="preserve">avg. </w:t>
      </w:r>
      <w:r w:rsidRPr="008675CA">
        <w:rPr>
          <w:rFonts w:asciiTheme="majorHAnsi" w:hAnsiTheme="majorHAnsi"/>
        </w:rPr>
        <w:t>grants of R</w:t>
      </w:r>
      <w:r w:rsidR="007B2380" w:rsidRPr="008675CA">
        <w:rPr>
          <w:rFonts w:asciiTheme="majorHAnsi" w:hAnsiTheme="majorHAnsi"/>
        </w:rPr>
        <w:t>s.</w:t>
      </w:r>
      <w:r w:rsidRPr="008675CA">
        <w:rPr>
          <w:rFonts w:asciiTheme="majorHAnsi" w:hAnsiTheme="majorHAnsi"/>
        </w:rPr>
        <w:t xml:space="preserve"> </w:t>
      </w:r>
      <w:r w:rsidR="007B2380" w:rsidRPr="008675CA">
        <w:rPr>
          <w:rFonts w:asciiTheme="majorHAnsi" w:hAnsiTheme="majorHAnsi"/>
        </w:rPr>
        <w:t>209.89</w:t>
      </w:r>
      <w:r w:rsidRPr="008675CA">
        <w:rPr>
          <w:rFonts w:asciiTheme="majorHAnsi" w:hAnsiTheme="majorHAnsi"/>
        </w:rPr>
        <w:t xml:space="preserve"> Cr </w:t>
      </w:r>
      <w:r w:rsidR="007B2380" w:rsidRPr="008675CA">
        <w:rPr>
          <w:rFonts w:asciiTheme="majorHAnsi" w:hAnsiTheme="majorHAnsi"/>
        </w:rPr>
        <w:t>(table 12 of the order)</w:t>
      </w:r>
      <w:r w:rsidR="001651A5">
        <w:rPr>
          <w:rFonts w:asciiTheme="majorHAnsi" w:hAnsiTheme="majorHAnsi"/>
        </w:rPr>
        <w:t xml:space="preserve"> and </w:t>
      </w:r>
      <w:r w:rsidR="001651A5">
        <w:rPr>
          <w:rFonts w:asciiTheme="majorHAnsi" w:hAnsiTheme="majorHAnsi"/>
          <w:b/>
        </w:rPr>
        <w:t xml:space="preserve">it is not clear from how </w:t>
      </w:r>
      <w:r w:rsidR="00912E8F">
        <w:rPr>
          <w:rFonts w:asciiTheme="majorHAnsi" w:hAnsiTheme="majorHAnsi"/>
          <w:b/>
        </w:rPr>
        <w:t xml:space="preserve">this </w:t>
      </w:r>
      <w:r w:rsidR="001651A5" w:rsidRPr="001651A5">
        <w:rPr>
          <w:rFonts w:asciiTheme="majorHAnsi" w:hAnsiTheme="majorHAnsi"/>
          <w:b/>
        </w:rPr>
        <w:t>is arrived at by the Hon’ble Commission in the order and not as per the SOA</w:t>
      </w:r>
      <w:r w:rsidR="001651A5" w:rsidRPr="007D745E">
        <w:rPr>
          <w:rFonts w:asciiTheme="majorHAnsi" w:hAnsiTheme="majorHAnsi"/>
        </w:rPr>
        <w:t xml:space="preserve">. </w:t>
      </w:r>
      <w:r w:rsidR="001651A5" w:rsidRPr="007D745E">
        <w:rPr>
          <w:rFonts w:asciiTheme="majorHAnsi" w:hAnsiTheme="majorHAnsi"/>
          <w:b/>
        </w:rPr>
        <w:t xml:space="preserve">This seems to be an error on the part of the Hon’ble Commission. </w:t>
      </w:r>
    </w:p>
    <w:p w14:paraId="166C4924" w14:textId="284CAA03" w:rsidR="00DA77FC" w:rsidRPr="008675CA" w:rsidRDefault="00300C65" w:rsidP="00DA77FC">
      <w:pPr>
        <w:ind w:left="360"/>
        <w:jc w:val="both"/>
        <w:rPr>
          <w:rFonts w:asciiTheme="majorHAnsi" w:hAnsiTheme="majorHAnsi"/>
        </w:rPr>
      </w:pPr>
      <w:r w:rsidRPr="008675CA">
        <w:rPr>
          <w:rFonts w:asciiTheme="majorHAnsi" w:hAnsiTheme="majorHAnsi"/>
        </w:rPr>
        <w:t>T</w:t>
      </w:r>
      <w:r w:rsidR="007B2380" w:rsidRPr="008675CA">
        <w:rPr>
          <w:rFonts w:asciiTheme="majorHAnsi" w:hAnsiTheme="majorHAnsi"/>
        </w:rPr>
        <w:t xml:space="preserve">he </w:t>
      </w:r>
      <w:r w:rsidR="00A6121B" w:rsidRPr="008675CA">
        <w:rPr>
          <w:rFonts w:asciiTheme="majorHAnsi" w:hAnsiTheme="majorHAnsi"/>
        </w:rPr>
        <w:t>grant amount in the SOA</w:t>
      </w:r>
      <w:r w:rsidR="00A36035" w:rsidRPr="008675CA">
        <w:rPr>
          <w:rFonts w:asciiTheme="majorHAnsi" w:hAnsiTheme="majorHAnsi"/>
        </w:rPr>
        <w:t xml:space="preserve"> FY</w:t>
      </w:r>
      <w:r w:rsidRPr="008675CA">
        <w:rPr>
          <w:rFonts w:asciiTheme="majorHAnsi" w:hAnsiTheme="majorHAnsi"/>
        </w:rPr>
        <w:t xml:space="preserve"> 2020-21</w:t>
      </w:r>
      <w:r w:rsidR="00A6121B" w:rsidRPr="008675CA">
        <w:rPr>
          <w:rFonts w:asciiTheme="majorHAnsi" w:hAnsiTheme="majorHAnsi"/>
        </w:rPr>
        <w:t xml:space="preserve"> </w:t>
      </w:r>
      <w:r w:rsidR="00A36035" w:rsidRPr="008675CA">
        <w:rPr>
          <w:rFonts w:asciiTheme="majorHAnsi" w:hAnsiTheme="majorHAnsi"/>
        </w:rPr>
        <w:t>is Rs 179.03 cr</w:t>
      </w:r>
      <w:r w:rsidR="00912E8F">
        <w:rPr>
          <w:rFonts w:asciiTheme="majorHAnsi" w:hAnsiTheme="majorHAnsi"/>
        </w:rPr>
        <w:t xml:space="preserve"> and which </w:t>
      </w:r>
      <w:r w:rsidR="00DA77FC" w:rsidRPr="008675CA">
        <w:rPr>
          <w:rFonts w:asciiTheme="majorHAnsi" w:hAnsiTheme="majorHAnsi"/>
        </w:rPr>
        <w:t>belong</w:t>
      </w:r>
      <w:r w:rsidR="00912E8F">
        <w:rPr>
          <w:rFonts w:asciiTheme="majorHAnsi" w:hAnsiTheme="majorHAnsi"/>
        </w:rPr>
        <w:t>s</w:t>
      </w:r>
      <w:r w:rsidR="00DA77FC" w:rsidRPr="008675CA">
        <w:rPr>
          <w:rFonts w:asciiTheme="majorHAnsi" w:hAnsiTheme="majorHAnsi"/>
        </w:rPr>
        <w:t xml:space="preserve"> to </w:t>
      </w:r>
      <w:r w:rsidR="00937755">
        <w:rPr>
          <w:rFonts w:asciiTheme="majorHAnsi" w:hAnsiTheme="majorHAnsi"/>
        </w:rPr>
        <w:t>DRIP</w:t>
      </w:r>
      <w:r w:rsidR="00912E8F">
        <w:rPr>
          <w:rFonts w:asciiTheme="majorHAnsi" w:hAnsiTheme="majorHAnsi"/>
        </w:rPr>
        <w:t>-II</w:t>
      </w:r>
      <w:r w:rsidR="00937755">
        <w:rPr>
          <w:rFonts w:asciiTheme="majorHAnsi" w:hAnsiTheme="majorHAnsi"/>
        </w:rPr>
        <w:t>, Dam Safety, etc., but not MLHEP</w:t>
      </w:r>
      <w:r w:rsidR="00A36035" w:rsidRPr="008675CA">
        <w:rPr>
          <w:rFonts w:asciiTheme="majorHAnsi" w:hAnsiTheme="majorHAnsi"/>
        </w:rPr>
        <w:t xml:space="preserve">. </w:t>
      </w:r>
      <w:r w:rsidR="00A36035" w:rsidRPr="008675CA">
        <w:rPr>
          <w:rFonts w:asciiTheme="majorHAnsi" w:hAnsiTheme="majorHAnsi"/>
          <w:b/>
        </w:rPr>
        <w:t xml:space="preserve">By allocating this grant to MLHEP will </w:t>
      </w:r>
      <w:r w:rsidR="00DA77FC" w:rsidRPr="008675CA">
        <w:rPr>
          <w:rFonts w:asciiTheme="majorHAnsi" w:hAnsiTheme="majorHAnsi"/>
          <w:b/>
        </w:rPr>
        <w:t xml:space="preserve">reduce the GFA of MLHEP for RoE </w:t>
      </w:r>
      <w:r w:rsidR="005348FA" w:rsidRPr="008675CA">
        <w:rPr>
          <w:rFonts w:asciiTheme="majorHAnsi" w:hAnsiTheme="majorHAnsi"/>
          <w:b/>
        </w:rPr>
        <w:t>calculation, which</w:t>
      </w:r>
      <w:r w:rsidR="00DA77FC" w:rsidRPr="008675CA">
        <w:rPr>
          <w:rFonts w:asciiTheme="majorHAnsi" w:hAnsiTheme="majorHAnsi"/>
          <w:b/>
        </w:rPr>
        <w:t xml:space="preserve"> is incorrect as highlighted above</w:t>
      </w:r>
      <w:r w:rsidR="00DA77FC" w:rsidRPr="008675CA">
        <w:rPr>
          <w:rFonts w:asciiTheme="majorHAnsi" w:hAnsiTheme="majorHAnsi"/>
        </w:rPr>
        <w:t>.</w:t>
      </w:r>
    </w:p>
    <w:p w14:paraId="533EB947" w14:textId="7BEC7309" w:rsidR="00DA77FC" w:rsidRPr="008675CA" w:rsidRDefault="00DA77FC" w:rsidP="00DA77FC">
      <w:pPr>
        <w:spacing w:after="0"/>
        <w:ind w:left="360"/>
        <w:jc w:val="both"/>
        <w:rPr>
          <w:rFonts w:asciiTheme="majorHAnsi" w:hAnsiTheme="majorHAnsi"/>
        </w:rPr>
      </w:pPr>
      <w:r w:rsidRPr="008675CA">
        <w:rPr>
          <w:rFonts w:asciiTheme="majorHAnsi" w:hAnsiTheme="majorHAnsi"/>
        </w:rPr>
        <w:t>The issue of Return on Equity (methodology of MeECL</w:t>
      </w:r>
      <w:r w:rsidR="00912E8F">
        <w:rPr>
          <w:rFonts w:asciiTheme="majorHAnsi" w:hAnsiTheme="majorHAnsi"/>
        </w:rPr>
        <w:t xml:space="preserve"> </w:t>
      </w:r>
      <w:r w:rsidRPr="008675CA">
        <w:rPr>
          <w:rFonts w:asciiTheme="majorHAnsi" w:hAnsiTheme="majorHAnsi"/>
        </w:rPr>
        <w:t>&amp; its subsidiaries vs methodology of MSERC: APTEL Case no 46 of 2016) is still subjudice. The corporation is reiterating the fact that the approved value of the Hon’ble Commission for Return on Equity is not in line with the Regulations. For the sake of brevity, MePGCL is not reiterating the grounds and the justification for the claim here since the matter is still subjudice.</w:t>
      </w:r>
    </w:p>
    <w:p w14:paraId="2856B269" w14:textId="77777777" w:rsidR="00DA77FC" w:rsidRPr="00705436" w:rsidRDefault="00DA77FC" w:rsidP="00DA77FC">
      <w:pPr>
        <w:spacing w:after="0"/>
        <w:ind w:left="360"/>
        <w:jc w:val="both"/>
        <w:rPr>
          <w:rFonts w:asciiTheme="majorHAnsi" w:hAnsiTheme="majorHAnsi"/>
          <w:sz w:val="16"/>
        </w:rPr>
      </w:pPr>
    </w:p>
    <w:p w14:paraId="210722EA" w14:textId="77777777" w:rsidR="00DA77FC" w:rsidRPr="008675CA" w:rsidRDefault="00DA77FC" w:rsidP="00DA77FC">
      <w:pPr>
        <w:ind w:left="360"/>
        <w:jc w:val="both"/>
        <w:rPr>
          <w:rFonts w:asciiTheme="majorHAnsi" w:hAnsiTheme="majorHAnsi"/>
        </w:rPr>
      </w:pPr>
      <w:r w:rsidRPr="008675CA">
        <w:rPr>
          <w:rFonts w:asciiTheme="majorHAnsi" w:hAnsiTheme="majorHAnsi"/>
        </w:rPr>
        <w:t>Hence, based on the above, the additional claim of MePGCL for review in line with the claim in the true up petition is given below:</w:t>
      </w:r>
    </w:p>
    <w:p w14:paraId="29D32A66" w14:textId="77777777" w:rsidR="00DA77FC" w:rsidRPr="008675CA" w:rsidRDefault="00DA77FC" w:rsidP="00DA77FC">
      <w:pPr>
        <w:pStyle w:val="Caption"/>
        <w:keepNext/>
        <w:spacing w:after="0"/>
        <w:ind w:left="360"/>
        <w:jc w:val="center"/>
        <w:rPr>
          <w:rFonts w:asciiTheme="majorHAnsi" w:hAnsiTheme="majorHAnsi"/>
          <w:b/>
          <w:i w:val="0"/>
          <w:color w:val="auto"/>
          <w:sz w:val="22"/>
          <w:szCs w:val="22"/>
        </w:rPr>
      </w:pPr>
      <w:r w:rsidRPr="008675CA">
        <w:rPr>
          <w:rFonts w:asciiTheme="majorHAnsi" w:hAnsiTheme="majorHAnsi"/>
          <w:b/>
          <w:i w:val="0"/>
          <w:color w:val="auto"/>
          <w:sz w:val="22"/>
          <w:szCs w:val="22"/>
        </w:rPr>
        <w:t xml:space="preserve">Table </w:t>
      </w:r>
      <w:r w:rsidR="00937755">
        <w:rPr>
          <w:rFonts w:asciiTheme="majorHAnsi" w:hAnsiTheme="majorHAnsi"/>
          <w:b/>
          <w:i w:val="0"/>
          <w:color w:val="auto"/>
          <w:sz w:val="22"/>
          <w:szCs w:val="22"/>
        </w:rPr>
        <w:t>4</w:t>
      </w:r>
      <w:r w:rsidRPr="008675CA">
        <w:rPr>
          <w:rFonts w:asciiTheme="majorHAnsi" w:hAnsiTheme="majorHAnsi"/>
          <w:b/>
          <w:i w:val="0"/>
          <w:color w:val="auto"/>
          <w:sz w:val="22"/>
          <w:szCs w:val="22"/>
        </w:rPr>
        <w:t>: Additional R</w:t>
      </w:r>
      <w:r w:rsidR="00A36035" w:rsidRPr="008675CA">
        <w:rPr>
          <w:rFonts w:asciiTheme="majorHAnsi" w:hAnsiTheme="majorHAnsi"/>
          <w:b/>
          <w:i w:val="0"/>
          <w:color w:val="auto"/>
          <w:sz w:val="22"/>
          <w:szCs w:val="22"/>
        </w:rPr>
        <w:t>oE Claim of MePGCL in Review (</w:t>
      </w:r>
      <w:r w:rsidRPr="008675CA">
        <w:rPr>
          <w:rFonts w:asciiTheme="majorHAnsi" w:hAnsiTheme="majorHAnsi"/>
          <w:b/>
          <w:i w:val="0"/>
          <w:color w:val="auto"/>
          <w:sz w:val="22"/>
          <w:szCs w:val="22"/>
        </w:rPr>
        <w:t>R</w:t>
      </w:r>
      <w:r w:rsidR="00A36035" w:rsidRPr="008675CA">
        <w:rPr>
          <w:rFonts w:asciiTheme="majorHAnsi" w:hAnsiTheme="majorHAnsi"/>
          <w:b/>
          <w:i w:val="0"/>
          <w:color w:val="auto"/>
          <w:sz w:val="22"/>
          <w:szCs w:val="22"/>
        </w:rPr>
        <w:t>s.</w:t>
      </w:r>
      <w:r w:rsidRPr="008675CA">
        <w:rPr>
          <w:rFonts w:asciiTheme="majorHAnsi" w:hAnsiTheme="majorHAnsi"/>
          <w:b/>
          <w:i w:val="0"/>
          <w:color w:val="auto"/>
          <w:sz w:val="22"/>
          <w:szCs w:val="22"/>
        </w:rPr>
        <w:t xml:space="preserve"> Cr.)</w:t>
      </w:r>
    </w:p>
    <w:tbl>
      <w:tblPr>
        <w:tblStyle w:val="TableGrid"/>
        <w:tblW w:w="4325" w:type="pct"/>
        <w:tblInd w:w="534" w:type="dxa"/>
        <w:tblLook w:val="04A0" w:firstRow="1" w:lastRow="0" w:firstColumn="1" w:lastColumn="0" w:noHBand="0" w:noVBand="1"/>
      </w:tblPr>
      <w:tblGrid>
        <w:gridCol w:w="6613"/>
        <w:gridCol w:w="1893"/>
      </w:tblGrid>
      <w:tr w:rsidR="00933542" w:rsidRPr="008675CA" w14:paraId="13B78444" w14:textId="77777777" w:rsidTr="00937755">
        <w:trPr>
          <w:trHeight w:val="277"/>
          <w:tblHeader/>
        </w:trPr>
        <w:tc>
          <w:tcPr>
            <w:tcW w:w="3887" w:type="pct"/>
            <w:shd w:val="clear" w:color="auto" w:fill="BFBFBF" w:themeFill="background1" w:themeFillShade="BF"/>
          </w:tcPr>
          <w:p w14:paraId="250E5828" w14:textId="77777777" w:rsidR="00933542" w:rsidRPr="008675CA" w:rsidRDefault="00933542" w:rsidP="003D4573">
            <w:pPr>
              <w:pStyle w:val="ListParagraph"/>
              <w:ind w:left="0"/>
              <w:jc w:val="both"/>
              <w:rPr>
                <w:rFonts w:asciiTheme="majorHAnsi" w:hAnsiTheme="majorHAnsi"/>
                <w:b/>
                <w:szCs w:val="22"/>
              </w:rPr>
            </w:pPr>
            <w:r w:rsidRPr="008675CA">
              <w:rPr>
                <w:rFonts w:asciiTheme="majorHAnsi" w:hAnsiTheme="majorHAnsi"/>
                <w:b/>
                <w:szCs w:val="22"/>
              </w:rPr>
              <w:t>Particulars</w:t>
            </w:r>
          </w:p>
        </w:tc>
        <w:tc>
          <w:tcPr>
            <w:tcW w:w="1113" w:type="pct"/>
            <w:shd w:val="clear" w:color="auto" w:fill="BFBFBF" w:themeFill="background1" w:themeFillShade="BF"/>
          </w:tcPr>
          <w:p w14:paraId="3258CCDA" w14:textId="77777777" w:rsidR="00933542" w:rsidRPr="008675CA" w:rsidRDefault="00933542" w:rsidP="00A36035">
            <w:pPr>
              <w:pStyle w:val="ListParagraph"/>
              <w:ind w:left="0"/>
              <w:jc w:val="center"/>
              <w:rPr>
                <w:rFonts w:asciiTheme="majorHAnsi" w:hAnsiTheme="majorHAnsi"/>
                <w:b/>
                <w:szCs w:val="22"/>
              </w:rPr>
            </w:pPr>
            <w:r w:rsidRPr="008675CA">
              <w:rPr>
                <w:rFonts w:asciiTheme="majorHAnsi" w:hAnsiTheme="majorHAnsi"/>
                <w:b/>
                <w:szCs w:val="22"/>
              </w:rPr>
              <w:t xml:space="preserve">FY </w:t>
            </w:r>
            <w:r w:rsidR="00A36035" w:rsidRPr="008675CA">
              <w:rPr>
                <w:rFonts w:asciiTheme="majorHAnsi" w:hAnsiTheme="majorHAnsi"/>
                <w:b/>
                <w:szCs w:val="22"/>
              </w:rPr>
              <w:t>2020-21</w:t>
            </w:r>
          </w:p>
        </w:tc>
      </w:tr>
      <w:tr w:rsidR="00933542" w:rsidRPr="008675CA" w14:paraId="62851AEA" w14:textId="77777777" w:rsidTr="00937755">
        <w:trPr>
          <w:trHeight w:val="277"/>
        </w:trPr>
        <w:tc>
          <w:tcPr>
            <w:tcW w:w="3887" w:type="pct"/>
          </w:tcPr>
          <w:p w14:paraId="0259D99B" w14:textId="77777777" w:rsidR="00933542" w:rsidRPr="008675CA" w:rsidRDefault="00933542" w:rsidP="003D4573">
            <w:pPr>
              <w:pStyle w:val="ListParagraph"/>
              <w:ind w:left="0"/>
              <w:jc w:val="both"/>
              <w:rPr>
                <w:rFonts w:asciiTheme="majorHAnsi" w:hAnsiTheme="majorHAnsi"/>
                <w:szCs w:val="22"/>
              </w:rPr>
            </w:pPr>
            <w:r w:rsidRPr="008675CA">
              <w:rPr>
                <w:rFonts w:asciiTheme="majorHAnsi" w:hAnsiTheme="majorHAnsi"/>
                <w:szCs w:val="22"/>
              </w:rPr>
              <w:t>MePGCL’s Claim of Return on Equity for MLHEP (1)</w:t>
            </w:r>
          </w:p>
        </w:tc>
        <w:tc>
          <w:tcPr>
            <w:tcW w:w="1113" w:type="pct"/>
          </w:tcPr>
          <w:p w14:paraId="4BFDCBED" w14:textId="77777777" w:rsidR="00933542" w:rsidRPr="008675CA" w:rsidRDefault="00A36035" w:rsidP="003D4573">
            <w:pPr>
              <w:pStyle w:val="Default"/>
              <w:jc w:val="center"/>
              <w:rPr>
                <w:rFonts w:asciiTheme="majorHAnsi" w:hAnsiTheme="majorHAnsi"/>
                <w:color w:val="auto"/>
                <w:sz w:val="22"/>
                <w:szCs w:val="22"/>
              </w:rPr>
            </w:pPr>
            <w:r w:rsidRPr="008675CA">
              <w:rPr>
                <w:rFonts w:asciiTheme="majorHAnsi" w:hAnsiTheme="majorHAnsi"/>
                <w:color w:val="auto"/>
                <w:sz w:val="22"/>
                <w:szCs w:val="22"/>
              </w:rPr>
              <w:t>54.00</w:t>
            </w:r>
          </w:p>
        </w:tc>
      </w:tr>
      <w:tr w:rsidR="00933542" w:rsidRPr="008675CA" w14:paraId="4096D33F" w14:textId="77777777" w:rsidTr="00937755">
        <w:trPr>
          <w:trHeight w:val="259"/>
        </w:trPr>
        <w:tc>
          <w:tcPr>
            <w:tcW w:w="3887" w:type="pct"/>
          </w:tcPr>
          <w:p w14:paraId="27666F5B" w14:textId="77777777" w:rsidR="00933542" w:rsidRPr="008675CA" w:rsidRDefault="00933542" w:rsidP="003D4573">
            <w:pPr>
              <w:pStyle w:val="ListParagraph"/>
              <w:ind w:left="0"/>
              <w:jc w:val="both"/>
              <w:rPr>
                <w:rFonts w:asciiTheme="majorHAnsi" w:hAnsiTheme="majorHAnsi"/>
                <w:szCs w:val="22"/>
              </w:rPr>
            </w:pPr>
            <w:r w:rsidRPr="008675CA">
              <w:rPr>
                <w:rFonts w:asciiTheme="majorHAnsi" w:hAnsiTheme="majorHAnsi"/>
                <w:szCs w:val="22"/>
              </w:rPr>
              <w:t>Approved Return on Equity by MSERC  for MLHEP (2)</w:t>
            </w:r>
          </w:p>
        </w:tc>
        <w:tc>
          <w:tcPr>
            <w:tcW w:w="1113" w:type="pct"/>
          </w:tcPr>
          <w:p w14:paraId="1FCAC290" w14:textId="77777777" w:rsidR="00933542" w:rsidRPr="008675CA" w:rsidRDefault="00A36035" w:rsidP="003D4573">
            <w:pPr>
              <w:pStyle w:val="Default"/>
              <w:jc w:val="center"/>
              <w:rPr>
                <w:rFonts w:asciiTheme="majorHAnsi" w:hAnsiTheme="majorHAnsi"/>
                <w:color w:val="auto"/>
                <w:sz w:val="22"/>
                <w:szCs w:val="22"/>
              </w:rPr>
            </w:pPr>
            <w:r w:rsidRPr="008675CA">
              <w:rPr>
                <w:rFonts w:asciiTheme="majorHAnsi" w:hAnsiTheme="majorHAnsi"/>
                <w:color w:val="auto"/>
                <w:sz w:val="22"/>
                <w:szCs w:val="22"/>
              </w:rPr>
              <w:t>45.55</w:t>
            </w:r>
          </w:p>
        </w:tc>
      </w:tr>
      <w:tr w:rsidR="00933542" w:rsidRPr="008675CA" w14:paraId="1277D3F1" w14:textId="77777777" w:rsidTr="00937755">
        <w:trPr>
          <w:trHeight w:val="259"/>
        </w:trPr>
        <w:tc>
          <w:tcPr>
            <w:tcW w:w="3887" w:type="pct"/>
          </w:tcPr>
          <w:p w14:paraId="7532F5EB" w14:textId="77777777" w:rsidR="00933542" w:rsidRPr="008675CA" w:rsidRDefault="00933542" w:rsidP="003D4573">
            <w:pPr>
              <w:pStyle w:val="ListParagraph"/>
              <w:ind w:left="0"/>
              <w:jc w:val="both"/>
              <w:rPr>
                <w:rFonts w:asciiTheme="majorHAnsi" w:hAnsiTheme="majorHAnsi"/>
                <w:b/>
                <w:szCs w:val="22"/>
              </w:rPr>
            </w:pPr>
            <w:r w:rsidRPr="008675CA">
              <w:rPr>
                <w:rFonts w:asciiTheme="majorHAnsi" w:hAnsiTheme="majorHAnsi"/>
                <w:b/>
                <w:szCs w:val="22"/>
              </w:rPr>
              <w:t>Gap to be passed in the review petition (1-2)</w:t>
            </w:r>
          </w:p>
        </w:tc>
        <w:tc>
          <w:tcPr>
            <w:tcW w:w="1113" w:type="pct"/>
          </w:tcPr>
          <w:p w14:paraId="3F113700" w14:textId="77777777" w:rsidR="00933542" w:rsidRPr="008675CA" w:rsidRDefault="00A36035" w:rsidP="003D4573">
            <w:pPr>
              <w:pStyle w:val="Default"/>
              <w:jc w:val="center"/>
              <w:rPr>
                <w:rFonts w:asciiTheme="majorHAnsi" w:hAnsiTheme="majorHAnsi"/>
                <w:b/>
                <w:color w:val="auto"/>
                <w:sz w:val="22"/>
                <w:szCs w:val="22"/>
              </w:rPr>
            </w:pPr>
            <w:r w:rsidRPr="008675CA">
              <w:rPr>
                <w:rFonts w:asciiTheme="majorHAnsi" w:hAnsiTheme="majorHAnsi"/>
                <w:b/>
                <w:color w:val="auto"/>
                <w:sz w:val="22"/>
                <w:szCs w:val="22"/>
              </w:rPr>
              <w:t>8.45</w:t>
            </w:r>
          </w:p>
        </w:tc>
      </w:tr>
    </w:tbl>
    <w:p w14:paraId="399A44FB" w14:textId="77777777" w:rsidR="005348FA" w:rsidRPr="00705436" w:rsidRDefault="005348FA" w:rsidP="00DA77FC">
      <w:pPr>
        <w:spacing w:after="0"/>
        <w:ind w:left="360"/>
        <w:jc w:val="both"/>
        <w:rPr>
          <w:rFonts w:asciiTheme="majorHAnsi" w:hAnsiTheme="majorHAnsi"/>
          <w:sz w:val="12"/>
        </w:rPr>
      </w:pPr>
    </w:p>
    <w:p w14:paraId="1A0A8F55" w14:textId="6EC00114" w:rsidR="00DA77FC" w:rsidRPr="008675CA" w:rsidRDefault="00DA77FC" w:rsidP="00DA77FC">
      <w:pPr>
        <w:spacing w:after="0"/>
        <w:ind w:left="360"/>
        <w:jc w:val="both"/>
        <w:rPr>
          <w:rFonts w:asciiTheme="majorHAnsi" w:hAnsiTheme="majorHAnsi"/>
        </w:rPr>
      </w:pPr>
      <w:r w:rsidRPr="008675CA">
        <w:rPr>
          <w:rFonts w:asciiTheme="majorHAnsi" w:hAnsiTheme="majorHAnsi"/>
        </w:rPr>
        <w:t xml:space="preserve">Hence MePGCL requests the Hon’ble Commission to kindly pass an additional amount </w:t>
      </w:r>
      <w:r w:rsidRPr="008675CA">
        <w:rPr>
          <w:rFonts w:asciiTheme="majorHAnsi" w:hAnsiTheme="majorHAnsi"/>
          <w:b/>
        </w:rPr>
        <w:t>R</w:t>
      </w:r>
      <w:r w:rsidR="00A36035" w:rsidRPr="008675CA">
        <w:rPr>
          <w:rFonts w:asciiTheme="majorHAnsi" w:hAnsiTheme="majorHAnsi"/>
          <w:b/>
        </w:rPr>
        <w:t>s. 8.45</w:t>
      </w:r>
      <w:r w:rsidRPr="008675CA">
        <w:rPr>
          <w:rFonts w:asciiTheme="majorHAnsi" w:hAnsiTheme="majorHAnsi"/>
          <w:b/>
        </w:rPr>
        <w:t xml:space="preserve"> Cr</w:t>
      </w:r>
      <w:r w:rsidRPr="008675CA">
        <w:rPr>
          <w:rFonts w:asciiTheme="majorHAnsi" w:hAnsiTheme="majorHAnsi"/>
        </w:rPr>
        <w:t xml:space="preserve"> for depreciation </w:t>
      </w:r>
      <w:r w:rsidR="00933542" w:rsidRPr="008675CA">
        <w:rPr>
          <w:rFonts w:asciiTheme="majorHAnsi" w:hAnsiTheme="majorHAnsi"/>
        </w:rPr>
        <w:t>f</w:t>
      </w:r>
      <w:r w:rsidRPr="008675CA">
        <w:rPr>
          <w:rFonts w:asciiTheme="majorHAnsi" w:hAnsiTheme="majorHAnsi"/>
        </w:rPr>
        <w:t>or FY</w:t>
      </w:r>
      <w:r w:rsidR="005348FA">
        <w:rPr>
          <w:rFonts w:asciiTheme="majorHAnsi" w:hAnsiTheme="majorHAnsi"/>
        </w:rPr>
        <w:t xml:space="preserve"> </w:t>
      </w:r>
      <w:r w:rsidRPr="008675CA">
        <w:rPr>
          <w:rFonts w:asciiTheme="majorHAnsi" w:hAnsiTheme="majorHAnsi"/>
        </w:rPr>
        <w:t>20</w:t>
      </w:r>
      <w:r w:rsidR="00A36035" w:rsidRPr="008675CA">
        <w:rPr>
          <w:rFonts w:asciiTheme="majorHAnsi" w:hAnsiTheme="majorHAnsi"/>
        </w:rPr>
        <w:t>20-21</w:t>
      </w:r>
      <w:r w:rsidR="007C46EE">
        <w:rPr>
          <w:rFonts w:asciiTheme="majorHAnsi" w:hAnsiTheme="majorHAnsi"/>
        </w:rPr>
        <w:t xml:space="preserve"> </w:t>
      </w:r>
      <w:r w:rsidR="005348FA">
        <w:rPr>
          <w:rFonts w:asciiTheme="majorHAnsi" w:hAnsiTheme="majorHAnsi"/>
        </w:rPr>
        <w:t xml:space="preserve">and </w:t>
      </w:r>
      <w:r w:rsidR="007C46EE">
        <w:rPr>
          <w:rFonts w:asciiTheme="majorHAnsi" w:hAnsiTheme="majorHAnsi"/>
        </w:rPr>
        <w:t>to kindly adjust</w:t>
      </w:r>
      <w:r w:rsidR="005348FA">
        <w:rPr>
          <w:rFonts w:asciiTheme="majorHAnsi" w:hAnsiTheme="majorHAnsi"/>
        </w:rPr>
        <w:t xml:space="preserve"> this amount </w:t>
      </w:r>
      <w:r w:rsidR="007C46EE">
        <w:rPr>
          <w:rFonts w:asciiTheme="majorHAnsi" w:hAnsiTheme="majorHAnsi"/>
        </w:rPr>
        <w:t>in the review petition for FY 2023-24</w:t>
      </w:r>
      <w:r w:rsidR="00933542" w:rsidRPr="008675CA">
        <w:rPr>
          <w:rFonts w:asciiTheme="majorHAnsi" w:hAnsiTheme="majorHAnsi"/>
        </w:rPr>
        <w:t>.</w:t>
      </w:r>
    </w:p>
    <w:p w14:paraId="22296DFF" w14:textId="77777777" w:rsidR="00DA77FC" w:rsidRPr="008675CA" w:rsidRDefault="00DA77FC" w:rsidP="00DA77FC">
      <w:pPr>
        <w:spacing w:after="0"/>
        <w:ind w:left="360"/>
        <w:jc w:val="both"/>
        <w:rPr>
          <w:rFonts w:asciiTheme="majorHAnsi" w:hAnsiTheme="majorHAnsi"/>
        </w:rPr>
      </w:pPr>
    </w:p>
    <w:p w14:paraId="2A6D995E" w14:textId="77777777" w:rsidR="00DA77FC" w:rsidRPr="008675CA" w:rsidRDefault="00372DCD" w:rsidP="00DA77FC">
      <w:pPr>
        <w:pStyle w:val="head2"/>
        <w:spacing w:before="0" w:after="0"/>
        <w:ind w:left="142" w:firstLine="0"/>
        <w:rPr>
          <w:rFonts w:asciiTheme="majorHAnsi" w:hAnsiTheme="majorHAnsi"/>
        </w:rPr>
      </w:pPr>
      <w:bookmarkStart w:id="48" w:name="_Toc102318561"/>
      <w:r w:rsidRPr="008675CA">
        <w:rPr>
          <w:rFonts w:asciiTheme="majorHAnsi" w:hAnsiTheme="majorHAnsi"/>
        </w:rPr>
        <w:t>2</w:t>
      </w:r>
      <w:r w:rsidR="00DA77FC" w:rsidRPr="008675CA">
        <w:rPr>
          <w:rFonts w:asciiTheme="majorHAnsi" w:hAnsiTheme="majorHAnsi"/>
        </w:rPr>
        <w:t>.2.3. Interest and Finance Charges</w:t>
      </w:r>
      <w:bookmarkEnd w:id="48"/>
    </w:p>
    <w:p w14:paraId="49A17ACC" w14:textId="75645FF5" w:rsidR="00DA77FC" w:rsidRPr="008675CA" w:rsidRDefault="00DA77FC" w:rsidP="00DA77FC">
      <w:pPr>
        <w:spacing w:after="0"/>
        <w:ind w:left="360"/>
        <w:jc w:val="both"/>
        <w:rPr>
          <w:rFonts w:asciiTheme="majorHAnsi" w:hAnsiTheme="majorHAnsi"/>
        </w:rPr>
      </w:pPr>
      <w:r w:rsidRPr="008675CA">
        <w:rPr>
          <w:rFonts w:asciiTheme="majorHAnsi" w:eastAsia="Arial" w:hAnsiTheme="majorHAnsi"/>
          <w:lang w:eastAsia="en-IN"/>
        </w:rPr>
        <w:t xml:space="preserve">The Hon’ble Commission in its True Up order for FY </w:t>
      </w:r>
      <w:r w:rsidR="00A36035" w:rsidRPr="008675CA">
        <w:rPr>
          <w:rFonts w:asciiTheme="majorHAnsi" w:eastAsia="Arial" w:hAnsiTheme="majorHAnsi"/>
          <w:lang w:eastAsia="en-IN"/>
        </w:rPr>
        <w:t>2020-21</w:t>
      </w:r>
      <w:r w:rsidRPr="008675CA">
        <w:rPr>
          <w:rFonts w:asciiTheme="majorHAnsi" w:eastAsia="Arial" w:hAnsiTheme="majorHAnsi"/>
          <w:lang w:eastAsia="en-IN"/>
        </w:rPr>
        <w:t xml:space="preserve"> has approved Interest and</w:t>
      </w:r>
      <w:r w:rsidR="00A36035" w:rsidRPr="008675CA">
        <w:rPr>
          <w:rFonts w:asciiTheme="majorHAnsi" w:eastAsia="Arial" w:hAnsiTheme="majorHAnsi"/>
          <w:lang w:eastAsia="en-IN"/>
        </w:rPr>
        <w:t xml:space="preserve"> Finance Charges at </w:t>
      </w:r>
      <w:r w:rsidRPr="008675CA">
        <w:rPr>
          <w:rFonts w:asciiTheme="majorHAnsi" w:eastAsia="Arial" w:hAnsiTheme="majorHAnsi"/>
          <w:lang w:eastAsia="en-IN"/>
        </w:rPr>
        <w:t>R</w:t>
      </w:r>
      <w:r w:rsidR="00A36035" w:rsidRPr="008675CA">
        <w:rPr>
          <w:rFonts w:asciiTheme="majorHAnsi" w:eastAsia="Arial" w:hAnsiTheme="majorHAnsi"/>
          <w:lang w:eastAsia="en-IN"/>
        </w:rPr>
        <w:t>s.</w:t>
      </w:r>
      <w:r w:rsidRPr="008675CA">
        <w:rPr>
          <w:rFonts w:asciiTheme="majorHAnsi" w:eastAsia="Arial" w:hAnsiTheme="majorHAnsi"/>
          <w:lang w:eastAsia="en-IN"/>
        </w:rPr>
        <w:t xml:space="preserve"> </w:t>
      </w:r>
      <w:r w:rsidR="00FF5C52" w:rsidRPr="008675CA">
        <w:rPr>
          <w:rFonts w:asciiTheme="majorHAnsi" w:eastAsia="Arial" w:hAnsiTheme="majorHAnsi"/>
          <w:lang w:eastAsia="en-IN"/>
        </w:rPr>
        <w:t>30.78 Cr</w:t>
      </w:r>
      <w:r w:rsidRPr="008675CA">
        <w:rPr>
          <w:rFonts w:asciiTheme="majorHAnsi" w:eastAsia="Arial" w:hAnsiTheme="majorHAnsi"/>
          <w:lang w:eastAsia="en-IN"/>
        </w:rPr>
        <w:t xml:space="preserve">. </w:t>
      </w:r>
      <w:r w:rsidRPr="008675CA">
        <w:rPr>
          <w:rFonts w:asciiTheme="majorHAnsi" w:hAnsiTheme="majorHAnsi"/>
        </w:rPr>
        <w:t xml:space="preserve">The details of loans for </w:t>
      </w:r>
      <w:r w:rsidR="00D8692F" w:rsidRPr="008675CA">
        <w:rPr>
          <w:rFonts w:asciiTheme="majorHAnsi" w:hAnsiTheme="majorHAnsi"/>
        </w:rPr>
        <w:t>MLHEP are</w:t>
      </w:r>
      <w:r w:rsidRPr="008675CA">
        <w:rPr>
          <w:rFonts w:asciiTheme="majorHAnsi" w:hAnsiTheme="majorHAnsi"/>
        </w:rPr>
        <w:t xml:space="preserve"> shown below:</w:t>
      </w:r>
    </w:p>
    <w:p w14:paraId="52F0C12B" w14:textId="77777777" w:rsidR="00DA77FC" w:rsidRPr="00705436" w:rsidRDefault="00DA77FC" w:rsidP="00DA77FC">
      <w:pPr>
        <w:spacing w:after="0"/>
        <w:ind w:left="360"/>
        <w:jc w:val="both"/>
        <w:rPr>
          <w:rFonts w:asciiTheme="majorHAnsi" w:hAnsiTheme="majorHAnsi"/>
          <w:sz w:val="16"/>
        </w:rPr>
      </w:pPr>
    </w:p>
    <w:p w14:paraId="792F7F63" w14:textId="77777777" w:rsidR="00DA77FC" w:rsidRPr="008675CA" w:rsidRDefault="00DA77FC" w:rsidP="00DA77FC">
      <w:pPr>
        <w:pStyle w:val="Caption"/>
        <w:keepNext/>
        <w:spacing w:after="0"/>
        <w:ind w:left="360"/>
        <w:jc w:val="center"/>
        <w:rPr>
          <w:rFonts w:asciiTheme="majorHAnsi" w:hAnsiTheme="majorHAnsi"/>
          <w:b/>
          <w:i w:val="0"/>
          <w:color w:val="auto"/>
          <w:sz w:val="22"/>
          <w:szCs w:val="22"/>
        </w:rPr>
      </w:pPr>
      <w:r w:rsidRPr="008675CA">
        <w:rPr>
          <w:rFonts w:asciiTheme="majorHAnsi" w:hAnsiTheme="majorHAnsi"/>
          <w:b/>
          <w:i w:val="0"/>
          <w:color w:val="auto"/>
          <w:sz w:val="22"/>
          <w:szCs w:val="22"/>
        </w:rPr>
        <w:t xml:space="preserve">Table </w:t>
      </w:r>
      <w:r w:rsidR="00937755">
        <w:rPr>
          <w:rFonts w:asciiTheme="majorHAnsi" w:hAnsiTheme="majorHAnsi"/>
          <w:b/>
          <w:i w:val="0"/>
          <w:color w:val="auto"/>
          <w:sz w:val="22"/>
          <w:szCs w:val="22"/>
        </w:rPr>
        <w:t>5</w:t>
      </w:r>
      <w:r w:rsidRPr="008675CA">
        <w:rPr>
          <w:rFonts w:asciiTheme="majorHAnsi" w:hAnsiTheme="majorHAnsi"/>
          <w:b/>
          <w:i w:val="0"/>
          <w:color w:val="auto"/>
          <w:sz w:val="22"/>
          <w:szCs w:val="22"/>
        </w:rPr>
        <w:t>: MLHEP Loan Details</w:t>
      </w:r>
    </w:p>
    <w:tbl>
      <w:tblPr>
        <w:tblW w:w="4648"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8"/>
        <w:gridCol w:w="1625"/>
        <w:gridCol w:w="1631"/>
        <w:gridCol w:w="1644"/>
        <w:gridCol w:w="1413"/>
      </w:tblGrid>
      <w:tr w:rsidR="00933542" w:rsidRPr="008675CA" w14:paraId="503053F3" w14:textId="77777777" w:rsidTr="00735DE3">
        <w:trPr>
          <w:trHeight w:val="215"/>
          <w:tblHeader/>
        </w:trPr>
        <w:tc>
          <w:tcPr>
            <w:tcW w:w="1547" w:type="pct"/>
            <w:vMerge w:val="restart"/>
            <w:shd w:val="clear" w:color="auto" w:fill="BFBFBF" w:themeFill="background1" w:themeFillShade="BF"/>
            <w:noWrap/>
            <w:vAlign w:val="center"/>
          </w:tcPr>
          <w:p w14:paraId="2E36E0F7" w14:textId="77777777" w:rsidR="00933542" w:rsidRPr="008675CA" w:rsidRDefault="00933542" w:rsidP="003D4573">
            <w:pPr>
              <w:spacing w:after="0" w:line="240" w:lineRule="auto"/>
              <w:ind w:left="-15"/>
              <w:rPr>
                <w:rFonts w:asciiTheme="majorHAnsi" w:eastAsia="Times New Roman" w:hAnsiTheme="majorHAnsi" w:cs="Calibri"/>
                <w:b/>
              </w:rPr>
            </w:pPr>
            <w:r w:rsidRPr="008675CA">
              <w:rPr>
                <w:rFonts w:asciiTheme="majorHAnsi" w:eastAsia="Times New Roman" w:hAnsiTheme="majorHAnsi" w:cs="Calibri"/>
                <w:b/>
              </w:rPr>
              <w:t>MLHEP Loans</w:t>
            </w:r>
          </w:p>
        </w:tc>
        <w:tc>
          <w:tcPr>
            <w:tcW w:w="3453" w:type="pct"/>
            <w:gridSpan w:val="4"/>
            <w:shd w:val="clear" w:color="auto" w:fill="BFBFBF" w:themeFill="background1" w:themeFillShade="BF"/>
            <w:vAlign w:val="center"/>
          </w:tcPr>
          <w:p w14:paraId="0A614212" w14:textId="77777777" w:rsidR="00933542" w:rsidRPr="008675CA" w:rsidRDefault="00933542" w:rsidP="00FF5C52">
            <w:pPr>
              <w:spacing w:after="0" w:line="240" w:lineRule="auto"/>
              <w:ind w:left="-14"/>
              <w:jc w:val="center"/>
              <w:rPr>
                <w:rFonts w:asciiTheme="majorHAnsi" w:eastAsia="Times New Roman" w:hAnsiTheme="majorHAnsi" w:cs="Calibri"/>
                <w:b/>
              </w:rPr>
            </w:pPr>
            <w:r w:rsidRPr="008675CA">
              <w:rPr>
                <w:rFonts w:asciiTheme="majorHAnsi" w:eastAsia="Times New Roman" w:hAnsiTheme="majorHAnsi" w:cs="Calibri"/>
                <w:b/>
              </w:rPr>
              <w:t xml:space="preserve">FY </w:t>
            </w:r>
            <w:r w:rsidR="00FF5C52" w:rsidRPr="008675CA">
              <w:rPr>
                <w:rFonts w:asciiTheme="majorHAnsi" w:eastAsia="Times New Roman" w:hAnsiTheme="majorHAnsi" w:cs="Calibri"/>
                <w:b/>
              </w:rPr>
              <w:t>2020-21</w:t>
            </w:r>
          </w:p>
        </w:tc>
      </w:tr>
      <w:tr w:rsidR="00933542" w:rsidRPr="008675CA" w14:paraId="61C66E31" w14:textId="77777777" w:rsidTr="00735DE3">
        <w:trPr>
          <w:trHeight w:val="818"/>
          <w:tblHeader/>
        </w:trPr>
        <w:tc>
          <w:tcPr>
            <w:tcW w:w="1547" w:type="pct"/>
            <w:vMerge/>
            <w:shd w:val="clear" w:color="auto" w:fill="BFBFBF" w:themeFill="background1" w:themeFillShade="BF"/>
            <w:noWrap/>
            <w:vAlign w:val="center"/>
            <w:hideMark/>
          </w:tcPr>
          <w:p w14:paraId="69117FF2" w14:textId="77777777" w:rsidR="00933542" w:rsidRPr="008675CA" w:rsidRDefault="00933542" w:rsidP="003D4573">
            <w:pPr>
              <w:spacing w:after="0" w:line="240" w:lineRule="auto"/>
              <w:ind w:left="-15"/>
              <w:rPr>
                <w:rFonts w:asciiTheme="majorHAnsi" w:eastAsia="Times New Roman" w:hAnsiTheme="majorHAnsi" w:cs="Calibri"/>
                <w:b/>
              </w:rPr>
            </w:pPr>
          </w:p>
        </w:tc>
        <w:tc>
          <w:tcPr>
            <w:tcW w:w="889" w:type="pct"/>
            <w:shd w:val="clear" w:color="auto" w:fill="BFBFBF" w:themeFill="background1" w:themeFillShade="BF"/>
          </w:tcPr>
          <w:p w14:paraId="5F664B9E" w14:textId="77777777" w:rsidR="00933542" w:rsidRPr="008675CA" w:rsidRDefault="00933542"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As on 01</w:t>
            </w:r>
            <w:r w:rsidRPr="008675CA">
              <w:rPr>
                <w:rFonts w:asciiTheme="majorHAnsi" w:eastAsia="Times New Roman" w:hAnsiTheme="majorHAnsi" w:cs="Calibri"/>
                <w:b/>
                <w:bCs/>
                <w:vertAlign w:val="superscript"/>
              </w:rPr>
              <w:t>st</w:t>
            </w:r>
            <w:r w:rsidR="00FF5C52" w:rsidRPr="008675CA">
              <w:rPr>
                <w:rFonts w:asciiTheme="majorHAnsi" w:eastAsia="Times New Roman" w:hAnsiTheme="majorHAnsi" w:cs="Calibri"/>
                <w:b/>
                <w:bCs/>
              </w:rPr>
              <w:t xml:space="preserve"> </w:t>
            </w:r>
            <w:r w:rsidRPr="008675CA">
              <w:rPr>
                <w:rFonts w:asciiTheme="majorHAnsi" w:eastAsia="Times New Roman" w:hAnsiTheme="majorHAnsi" w:cs="Calibri"/>
                <w:b/>
                <w:bCs/>
              </w:rPr>
              <w:t xml:space="preserve"> April 20</w:t>
            </w:r>
            <w:r w:rsidR="00FF5C52" w:rsidRPr="008675CA">
              <w:rPr>
                <w:rFonts w:asciiTheme="majorHAnsi" w:eastAsia="Times New Roman" w:hAnsiTheme="majorHAnsi" w:cs="Calibri"/>
                <w:b/>
                <w:bCs/>
              </w:rPr>
              <w:t>20</w:t>
            </w:r>
          </w:p>
          <w:p w14:paraId="726FCB08" w14:textId="77777777" w:rsidR="00933542" w:rsidRPr="008675CA" w:rsidRDefault="00FF5C52"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w:t>
            </w:r>
            <w:r w:rsidR="00933542" w:rsidRPr="008675CA">
              <w:rPr>
                <w:rFonts w:asciiTheme="majorHAnsi" w:eastAsia="Times New Roman" w:hAnsiTheme="majorHAnsi" w:cs="Calibri"/>
                <w:b/>
                <w:bCs/>
              </w:rPr>
              <w:t>R</w:t>
            </w:r>
            <w:r w:rsidRPr="008675CA">
              <w:rPr>
                <w:rFonts w:asciiTheme="majorHAnsi" w:eastAsia="Times New Roman" w:hAnsiTheme="majorHAnsi" w:cs="Calibri"/>
                <w:b/>
                <w:bCs/>
              </w:rPr>
              <w:t>s.</w:t>
            </w:r>
            <w:r w:rsidR="00933542" w:rsidRPr="008675CA">
              <w:rPr>
                <w:rFonts w:asciiTheme="majorHAnsi" w:eastAsia="Times New Roman" w:hAnsiTheme="majorHAnsi" w:cs="Calibri"/>
                <w:b/>
                <w:bCs/>
              </w:rPr>
              <w:t xml:space="preserve"> Cr.)</w:t>
            </w:r>
          </w:p>
        </w:tc>
        <w:tc>
          <w:tcPr>
            <w:tcW w:w="892" w:type="pct"/>
            <w:shd w:val="clear" w:color="auto" w:fill="BFBFBF" w:themeFill="background1" w:themeFillShade="BF"/>
          </w:tcPr>
          <w:p w14:paraId="45CCDB8E" w14:textId="0493312E" w:rsidR="00933542" w:rsidRPr="008675CA" w:rsidRDefault="00933542" w:rsidP="003D4573">
            <w:pPr>
              <w:spacing w:after="0" w:line="240" w:lineRule="auto"/>
              <w:ind w:left="-14"/>
              <w:jc w:val="center"/>
              <w:rPr>
                <w:rFonts w:asciiTheme="majorHAnsi" w:eastAsia="Times New Roman" w:hAnsiTheme="majorHAnsi" w:cs="Calibri"/>
                <w:b/>
                <w:bCs/>
              </w:rPr>
            </w:pPr>
            <w:r w:rsidRPr="008675CA">
              <w:rPr>
                <w:rFonts w:asciiTheme="majorHAnsi" w:eastAsia="Times New Roman" w:hAnsiTheme="majorHAnsi" w:cs="Calibri"/>
                <w:b/>
                <w:bCs/>
              </w:rPr>
              <w:t>As on 31</w:t>
            </w:r>
            <w:r w:rsidRPr="008675CA">
              <w:rPr>
                <w:rFonts w:asciiTheme="majorHAnsi" w:eastAsia="Times New Roman" w:hAnsiTheme="majorHAnsi" w:cs="Calibri"/>
                <w:b/>
                <w:bCs/>
                <w:vertAlign w:val="superscript"/>
              </w:rPr>
              <w:t>st</w:t>
            </w:r>
            <w:r w:rsidR="00FF5C52" w:rsidRPr="008675CA">
              <w:rPr>
                <w:rFonts w:asciiTheme="majorHAnsi" w:eastAsia="Times New Roman" w:hAnsiTheme="majorHAnsi" w:cs="Calibri"/>
                <w:b/>
                <w:bCs/>
              </w:rPr>
              <w:t xml:space="preserve"> </w:t>
            </w:r>
            <w:r w:rsidRPr="008675CA">
              <w:rPr>
                <w:rFonts w:asciiTheme="majorHAnsi" w:eastAsia="Times New Roman" w:hAnsiTheme="majorHAnsi" w:cs="Calibri"/>
                <w:b/>
                <w:bCs/>
              </w:rPr>
              <w:t xml:space="preserve"> March 202</w:t>
            </w:r>
            <w:r w:rsidR="00D8692F">
              <w:rPr>
                <w:rFonts w:asciiTheme="majorHAnsi" w:eastAsia="Times New Roman" w:hAnsiTheme="majorHAnsi" w:cs="Calibri"/>
                <w:b/>
                <w:bCs/>
              </w:rPr>
              <w:t>1</w:t>
            </w:r>
          </w:p>
          <w:p w14:paraId="5F0FB4EB" w14:textId="77777777" w:rsidR="00933542" w:rsidRPr="008675CA" w:rsidRDefault="00FF5C52" w:rsidP="00FF5C52">
            <w:pPr>
              <w:spacing w:after="0" w:line="240" w:lineRule="auto"/>
              <w:ind w:left="-14"/>
              <w:jc w:val="center"/>
              <w:rPr>
                <w:rFonts w:asciiTheme="majorHAnsi" w:eastAsia="Times New Roman" w:hAnsiTheme="majorHAnsi" w:cs="Calibri"/>
                <w:b/>
                <w:bCs/>
              </w:rPr>
            </w:pPr>
            <w:r w:rsidRPr="008675CA">
              <w:rPr>
                <w:rFonts w:asciiTheme="majorHAnsi" w:eastAsia="Times New Roman" w:hAnsiTheme="majorHAnsi" w:cs="Calibri"/>
                <w:b/>
                <w:bCs/>
              </w:rPr>
              <w:t>(</w:t>
            </w:r>
            <w:r w:rsidR="00933542" w:rsidRPr="008675CA">
              <w:rPr>
                <w:rFonts w:asciiTheme="majorHAnsi" w:eastAsia="Times New Roman" w:hAnsiTheme="majorHAnsi" w:cs="Calibri"/>
                <w:b/>
                <w:bCs/>
              </w:rPr>
              <w:t>R</w:t>
            </w:r>
            <w:r w:rsidRPr="008675CA">
              <w:rPr>
                <w:rFonts w:asciiTheme="majorHAnsi" w:eastAsia="Times New Roman" w:hAnsiTheme="majorHAnsi" w:cs="Calibri"/>
                <w:b/>
                <w:bCs/>
              </w:rPr>
              <w:t>s.</w:t>
            </w:r>
            <w:r w:rsidR="00933542" w:rsidRPr="008675CA">
              <w:rPr>
                <w:rFonts w:asciiTheme="majorHAnsi" w:eastAsia="Times New Roman" w:hAnsiTheme="majorHAnsi" w:cs="Calibri"/>
                <w:b/>
                <w:bCs/>
              </w:rPr>
              <w:t xml:space="preserve"> Cr.)</w:t>
            </w:r>
          </w:p>
        </w:tc>
        <w:tc>
          <w:tcPr>
            <w:tcW w:w="899" w:type="pct"/>
            <w:shd w:val="clear" w:color="auto" w:fill="BFBFBF" w:themeFill="background1" w:themeFillShade="BF"/>
          </w:tcPr>
          <w:p w14:paraId="789C8F82" w14:textId="77777777" w:rsidR="00933542" w:rsidRPr="008675CA" w:rsidRDefault="00933542" w:rsidP="003D4573">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Interest Rate</w:t>
            </w:r>
          </w:p>
          <w:p w14:paraId="293A5CE6" w14:textId="77777777" w:rsidR="00933542" w:rsidRPr="008675CA" w:rsidRDefault="00933542" w:rsidP="003D4573">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w:t>
            </w:r>
          </w:p>
        </w:tc>
        <w:tc>
          <w:tcPr>
            <w:tcW w:w="772" w:type="pct"/>
            <w:shd w:val="clear" w:color="auto" w:fill="BFBFBF" w:themeFill="background1" w:themeFillShade="BF"/>
          </w:tcPr>
          <w:p w14:paraId="3F0AA1F8" w14:textId="77777777" w:rsidR="00933542" w:rsidRPr="008675CA" w:rsidRDefault="00933542" w:rsidP="003D4573">
            <w:pPr>
              <w:spacing w:after="0" w:line="240" w:lineRule="auto"/>
              <w:ind w:left="-14"/>
              <w:jc w:val="center"/>
              <w:rPr>
                <w:rFonts w:asciiTheme="majorHAnsi" w:eastAsia="Times New Roman" w:hAnsiTheme="majorHAnsi" w:cs="Calibri"/>
                <w:b/>
              </w:rPr>
            </w:pPr>
            <w:r w:rsidRPr="008675CA">
              <w:rPr>
                <w:rFonts w:asciiTheme="majorHAnsi" w:eastAsia="Times New Roman" w:hAnsiTheme="majorHAnsi" w:cs="Calibri"/>
                <w:b/>
              </w:rPr>
              <w:t>Interest</w:t>
            </w:r>
            <w:r w:rsidR="00735DE3" w:rsidRPr="008675CA">
              <w:rPr>
                <w:rFonts w:asciiTheme="majorHAnsi" w:eastAsia="Times New Roman" w:hAnsiTheme="majorHAnsi" w:cs="Calibri"/>
                <w:b/>
              </w:rPr>
              <w:t xml:space="preserve"> Accrued </w:t>
            </w:r>
          </w:p>
          <w:p w14:paraId="15F48CB3" w14:textId="77777777" w:rsidR="00933542" w:rsidRPr="008675CA" w:rsidRDefault="00FF5C52" w:rsidP="003D4573">
            <w:pPr>
              <w:spacing w:after="0" w:line="240" w:lineRule="auto"/>
              <w:ind w:left="-14"/>
              <w:jc w:val="center"/>
              <w:rPr>
                <w:rFonts w:asciiTheme="majorHAnsi" w:eastAsia="Times New Roman" w:hAnsiTheme="majorHAnsi" w:cs="Calibri"/>
                <w:b/>
              </w:rPr>
            </w:pPr>
            <w:r w:rsidRPr="008675CA">
              <w:rPr>
                <w:rFonts w:asciiTheme="majorHAnsi" w:eastAsia="Times New Roman" w:hAnsiTheme="majorHAnsi" w:cs="Calibri"/>
                <w:b/>
              </w:rPr>
              <w:t>(</w:t>
            </w:r>
            <w:r w:rsidR="00933542" w:rsidRPr="008675CA">
              <w:rPr>
                <w:rFonts w:asciiTheme="majorHAnsi" w:eastAsia="Times New Roman" w:hAnsiTheme="majorHAnsi" w:cs="Calibri"/>
                <w:b/>
              </w:rPr>
              <w:t>R</w:t>
            </w:r>
            <w:r w:rsidRPr="008675CA">
              <w:rPr>
                <w:rFonts w:asciiTheme="majorHAnsi" w:eastAsia="Times New Roman" w:hAnsiTheme="majorHAnsi" w:cs="Calibri"/>
                <w:b/>
              </w:rPr>
              <w:t>s.</w:t>
            </w:r>
            <w:r w:rsidR="00933542" w:rsidRPr="008675CA">
              <w:rPr>
                <w:rFonts w:asciiTheme="majorHAnsi" w:eastAsia="Times New Roman" w:hAnsiTheme="majorHAnsi" w:cs="Calibri"/>
                <w:b/>
              </w:rPr>
              <w:t xml:space="preserve"> Cr.)</w:t>
            </w:r>
          </w:p>
        </w:tc>
      </w:tr>
      <w:tr w:rsidR="00933542" w:rsidRPr="008675CA" w14:paraId="61E86EE2" w14:textId="77777777" w:rsidTr="00735DE3">
        <w:trPr>
          <w:trHeight w:val="289"/>
        </w:trPr>
        <w:tc>
          <w:tcPr>
            <w:tcW w:w="1547" w:type="pct"/>
            <w:shd w:val="clear" w:color="auto" w:fill="auto"/>
            <w:noWrap/>
            <w:vAlign w:val="center"/>
          </w:tcPr>
          <w:p w14:paraId="147E2C5D" w14:textId="77777777" w:rsidR="00933542" w:rsidRPr="008675CA" w:rsidRDefault="00FF5C52"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 xml:space="preserve">PFC Loan </w:t>
            </w:r>
          </w:p>
        </w:tc>
        <w:tc>
          <w:tcPr>
            <w:tcW w:w="889" w:type="pct"/>
          </w:tcPr>
          <w:p w14:paraId="4778A81A" w14:textId="77777777" w:rsidR="00933542" w:rsidRPr="008675CA" w:rsidRDefault="00FF5C52"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140.92</w:t>
            </w:r>
          </w:p>
        </w:tc>
        <w:tc>
          <w:tcPr>
            <w:tcW w:w="892" w:type="pct"/>
          </w:tcPr>
          <w:p w14:paraId="7AD5CFBF" w14:textId="77777777" w:rsidR="00933542" w:rsidRPr="008675CA" w:rsidRDefault="00FF5C52"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141.33</w:t>
            </w:r>
          </w:p>
        </w:tc>
        <w:tc>
          <w:tcPr>
            <w:tcW w:w="899" w:type="pct"/>
          </w:tcPr>
          <w:p w14:paraId="778FDE93" w14:textId="77777777" w:rsidR="00933542"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11.75%</w:t>
            </w:r>
          </w:p>
        </w:tc>
        <w:tc>
          <w:tcPr>
            <w:tcW w:w="772" w:type="pct"/>
          </w:tcPr>
          <w:p w14:paraId="655AA7E8" w14:textId="77777777" w:rsidR="00933542"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11.97</w:t>
            </w:r>
          </w:p>
        </w:tc>
      </w:tr>
      <w:tr w:rsidR="00933542" w:rsidRPr="008675CA" w14:paraId="78E389FD" w14:textId="77777777" w:rsidTr="00735DE3">
        <w:trPr>
          <w:trHeight w:val="289"/>
        </w:trPr>
        <w:tc>
          <w:tcPr>
            <w:tcW w:w="1547" w:type="pct"/>
            <w:shd w:val="clear" w:color="auto" w:fill="auto"/>
            <w:noWrap/>
            <w:vAlign w:val="center"/>
            <w:hideMark/>
          </w:tcPr>
          <w:p w14:paraId="2CF2BAC1" w14:textId="77777777" w:rsidR="00933542" w:rsidRPr="008675CA" w:rsidRDefault="00FF5C52" w:rsidP="00FF5C52">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 xml:space="preserve">REC Loan </w:t>
            </w:r>
          </w:p>
        </w:tc>
        <w:tc>
          <w:tcPr>
            <w:tcW w:w="889" w:type="pct"/>
          </w:tcPr>
          <w:p w14:paraId="76F3521B" w14:textId="77777777" w:rsidR="00933542" w:rsidRPr="008675CA" w:rsidRDefault="00FF5C52"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132.85</w:t>
            </w:r>
          </w:p>
        </w:tc>
        <w:tc>
          <w:tcPr>
            <w:tcW w:w="892" w:type="pct"/>
          </w:tcPr>
          <w:p w14:paraId="6FA1C766" w14:textId="77777777" w:rsidR="00933542"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127.98</w:t>
            </w:r>
          </w:p>
        </w:tc>
        <w:tc>
          <w:tcPr>
            <w:tcW w:w="899" w:type="pct"/>
          </w:tcPr>
          <w:p w14:paraId="2C6B7BFB" w14:textId="77777777" w:rsidR="00933542"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11.25%</w:t>
            </w:r>
          </w:p>
        </w:tc>
        <w:tc>
          <w:tcPr>
            <w:tcW w:w="772" w:type="pct"/>
          </w:tcPr>
          <w:p w14:paraId="328023A0" w14:textId="77777777" w:rsidR="00933542"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11.75</w:t>
            </w:r>
          </w:p>
        </w:tc>
      </w:tr>
      <w:tr w:rsidR="00735DE3" w:rsidRPr="008675CA" w14:paraId="27DA5FE1" w14:textId="77777777" w:rsidTr="00735DE3">
        <w:trPr>
          <w:trHeight w:val="289"/>
        </w:trPr>
        <w:tc>
          <w:tcPr>
            <w:tcW w:w="1547" w:type="pct"/>
            <w:shd w:val="clear" w:color="auto" w:fill="auto"/>
            <w:noWrap/>
            <w:vAlign w:val="center"/>
            <w:hideMark/>
          </w:tcPr>
          <w:p w14:paraId="4C319915" w14:textId="77777777" w:rsidR="00735DE3" w:rsidRPr="008675CA" w:rsidRDefault="00735DE3"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CBI</w:t>
            </w:r>
          </w:p>
        </w:tc>
        <w:tc>
          <w:tcPr>
            <w:tcW w:w="889" w:type="pct"/>
          </w:tcPr>
          <w:p w14:paraId="25CAA34E"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8.58</w:t>
            </w:r>
          </w:p>
        </w:tc>
        <w:tc>
          <w:tcPr>
            <w:tcW w:w="892" w:type="pct"/>
          </w:tcPr>
          <w:p w14:paraId="69E7B7A8"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2.31</w:t>
            </w:r>
          </w:p>
        </w:tc>
        <w:tc>
          <w:tcPr>
            <w:tcW w:w="899" w:type="pct"/>
          </w:tcPr>
          <w:p w14:paraId="797D9D71"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11.15%</w:t>
            </w:r>
          </w:p>
        </w:tc>
        <w:tc>
          <w:tcPr>
            <w:tcW w:w="772" w:type="pct"/>
          </w:tcPr>
          <w:p w14:paraId="630DEA17" w14:textId="77777777" w:rsidR="00735DE3" w:rsidRPr="008675CA" w:rsidRDefault="00735DE3" w:rsidP="00CC17B4">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1.08</w:t>
            </w:r>
          </w:p>
        </w:tc>
      </w:tr>
      <w:tr w:rsidR="00735DE3" w:rsidRPr="008675CA" w14:paraId="6214CD6B" w14:textId="77777777" w:rsidTr="00735DE3">
        <w:trPr>
          <w:trHeight w:val="289"/>
        </w:trPr>
        <w:tc>
          <w:tcPr>
            <w:tcW w:w="1547" w:type="pct"/>
            <w:shd w:val="clear" w:color="auto" w:fill="auto"/>
            <w:noWrap/>
            <w:vAlign w:val="center"/>
          </w:tcPr>
          <w:p w14:paraId="7F9D0750" w14:textId="77777777" w:rsidR="00735DE3" w:rsidRPr="008675CA" w:rsidRDefault="00735DE3" w:rsidP="00CC17B4">
            <w:pPr>
              <w:spacing w:after="0" w:line="240" w:lineRule="auto"/>
              <w:rPr>
                <w:rFonts w:asciiTheme="majorHAnsi" w:eastAsia="Times New Roman" w:hAnsiTheme="majorHAnsi" w:cs="Calibri"/>
              </w:rPr>
            </w:pPr>
            <w:r w:rsidRPr="008675CA">
              <w:rPr>
                <w:rFonts w:asciiTheme="majorHAnsi" w:eastAsia="Times New Roman" w:hAnsiTheme="majorHAnsi" w:cs="Calibri"/>
              </w:rPr>
              <w:t xml:space="preserve">PFC Loan (170 cr) </w:t>
            </w:r>
          </w:p>
        </w:tc>
        <w:tc>
          <w:tcPr>
            <w:tcW w:w="889" w:type="pct"/>
          </w:tcPr>
          <w:p w14:paraId="462E7A54"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142.54</w:t>
            </w:r>
          </w:p>
        </w:tc>
        <w:tc>
          <w:tcPr>
            <w:tcW w:w="892" w:type="pct"/>
          </w:tcPr>
          <w:p w14:paraId="0017C282"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143.02</w:t>
            </w:r>
          </w:p>
        </w:tc>
        <w:tc>
          <w:tcPr>
            <w:tcW w:w="899" w:type="pct"/>
          </w:tcPr>
          <w:p w14:paraId="2A8DAE79"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11.75%</w:t>
            </w:r>
          </w:p>
        </w:tc>
        <w:tc>
          <w:tcPr>
            <w:tcW w:w="772" w:type="pct"/>
          </w:tcPr>
          <w:p w14:paraId="186B291C" w14:textId="77777777" w:rsidR="00735DE3" w:rsidRPr="008675CA" w:rsidRDefault="00735DE3" w:rsidP="00CC17B4">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12.11</w:t>
            </w:r>
          </w:p>
        </w:tc>
      </w:tr>
      <w:tr w:rsidR="00735DE3" w:rsidRPr="008675CA" w14:paraId="7EBF782B" w14:textId="77777777" w:rsidTr="00735DE3">
        <w:trPr>
          <w:trHeight w:val="289"/>
        </w:trPr>
        <w:tc>
          <w:tcPr>
            <w:tcW w:w="1547" w:type="pct"/>
            <w:shd w:val="clear" w:color="auto" w:fill="auto"/>
            <w:noWrap/>
            <w:vAlign w:val="center"/>
          </w:tcPr>
          <w:p w14:paraId="53196F31" w14:textId="77777777" w:rsidR="00735DE3" w:rsidRPr="008675CA" w:rsidRDefault="00735DE3" w:rsidP="00CC17B4">
            <w:pPr>
              <w:spacing w:after="0" w:line="240" w:lineRule="auto"/>
              <w:rPr>
                <w:rFonts w:asciiTheme="majorHAnsi" w:eastAsia="Times New Roman" w:hAnsiTheme="majorHAnsi" w:cs="Calibri"/>
              </w:rPr>
            </w:pPr>
            <w:r w:rsidRPr="008675CA">
              <w:rPr>
                <w:rFonts w:asciiTheme="majorHAnsi" w:eastAsia="Times New Roman" w:hAnsiTheme="majorHAnsi" w:cs="Calibri"/>
              </w:rPr>
              <w:t xml:space="preserve">REC Loan 60 cr </w:t>
            </w:r>
          </w:p>
        </w:tc>
        <w:tc>
          <w:tcPr>
            <w:tcW w:w="889" w:type="pct"/>
          </w:tcPr>
          <w:p w14:paraId="11CB852B"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43.45</w:t>
            </w:r>
          </w:p>
        </w:tc>
        <w:tc>
          <w:tcPr>
            <w:tcW w:w="892" w:type="pct"/>
          </w:tcPr>
          <w:p w14:paraId="47C07858"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42.00</w:t>
            </w:r>
          </w:p>
        </w:tc>
        <w:tc>
          <w:tcPr>
            <w:tcW w:w="899" w:type="pct"/>
          </w:tcPr>
          <w:p w14:paraId="3DD5AAE0"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11.25%</w:t>
            </w:r>
          </w:p>
        </w:tc>
        <w:tc>
          <w:tcPr>
            <w:tcW w:w="772" w:type="pct"/>
          </w:tcPr>
          <w:p w14:paraId="49092439" w14:textId="77777777" w:rsidR="00735DE3" w:rsidRPr="008675CA" w:rsidRDefault="00735DE3" w:rsidP="00CC17B4">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3.93</w:t>
            </w:r>
          </w:p>
        </w:tc>
      </w:tr>
      <w:tr w:rsidR="00735DE3" w:rsidRPr="008675CA" w14:paraId="6E6CA483" w14:textId="77777777" w:rsidTr="00735DE3">
        <w:trPr>
          <w:trHeight w:val="289"/>
        </w:trPr>
        <w:tc>
          <w:tcPr>
            <w:tcW w:w="1547" w:type="pct"/>
            <w:shd w:val="clear" w:color="auto" w:fill="auto"/>
            <w:noWrap/>
            <w:vAlign w:val="center"/>
          </w:tcPr>
          <w:p w14:paraId="1272052E" w14:textId="77777777" w:rsidR="00735DE3" w:rsidRPr="008675CA" w:rsidRDefault="00735DE3" w:rsidP="003D4573">
            <w:pPr>
              <w:spacing w:after="0" w:line="240" w:lineRule="auto"/>
              <w:rPr>
                <w:rFonts w:asciiTheme="majorHAnsi" w:eastAsia="Times New Roman" w:hAnsiTheme="majorHAnsi" w:cs="Calibri"/>
              </w:rPr>
            </w:pPr>
            <w:r w:rsidRPr="008675CA">
              <w:rPr>
                <w:rFonts w:asciiTheme="majorHAnsi" w:eastAsia="Times New Roman" w:hAnsiTheme="majorHAnsi" w:cs="Calibri"/>
              </w:rPr>
              <w:t>PFC (14 Cr.)</w:t>
            </w:r>
          </w:p>
        </w:tc>
        <w:tc>
          <w:tcPr>
            <w:tcW w:w="889" w:type="pct"/>
          </w:tcPr>
          <w:p w14:paraId="3B3D7D6B"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7.55</w:t>
            </w:r>
          </w:p>
        </w:tc>
        <w:tc>
          <w:tcPr>
            <w:tcW w:w="892" w:type="pct"/>
          </w:tcPr>
          <w:p w14:paraId="41014531"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1.44</w:t>
            </w:r>
          </w:p>
        </w:tc>
        <w:tc>
          <w:tcPr>
            <w:tcW w:w="899" w:type="pct"/>
          </w:tcPr>
          <w:p w14:paraId="68C8420A"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11.50%</w:t>
            </w:r>
          </w:p>
        </w:tc>
        <w:tc>
          <w:tcPr>
            <w:tcW w:w="772" w:type="pct"/>
          </w:tcPr>
          <w:p w14:paraId="659A6048" w14:textId="77777777" w:rsidR="00735DE3" w:rsidRPr="008675CA" w:rsidRDefault="00735DE3" w:rsidP="00CC17B4">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0.09</w:t>
            </w:r>
          </w:p>
        </w:tc>
      </w:tr>
      <w:tr w:rsidR="00735DE3" w:rsidRPr="008675CA" w14:paraId="1053DF2F" w14:textId="77777777" w:rsidTr="00735DE3">
        <w:trPr>
          <w:trHeight w:val="289"/>
        </w:trPr>
        <w:tc>
          <w:tcPr>
            <w:tcW w:w="1547" w:type="pct"/>
            <w:shd w:val="clear" w:color="auto" w:fill="auto"/>
            <w:noWrap/>
            <w:vAlign w:val="center"/>
          </w:tcPr>
          <w:p w14:paraId="58F0272E" w14:textId="77777777" w:rsidR="00735DE3" w:rsidRPr="008675CA" w:rsidRDefault="00735DE3" w:rsidP="003D4573">
            <w:pPr>
              <w:spacing w:after="0" w:line="240" w:lineRule="auto"/>
              <w:rPr>
                <w:rFonts w:asciiTheme="majorHAnsi" w:eastAsia="Times New Roman" w:hAnsiTheme="majorHAnsi" w:cs="Calibri"/>
              </w:rPr>
            </w:pPr>
            <w:r w:rsidRPr="008675CA">
              <w:rPr>
                <w:rFonts w:asciiTheme="majorHAnsi" w:eastAsia="Times New Roman" w:hAnsiTheme="majorHAnsi" w:cs="Calibri"/>
              </w:rPr>
              <w:t>PFC (38 Cr.)</w:t>
            </w:r>
          </w:p>
        </w:tc>
        <w:tc>
          <w:tcPr>
            <w:tcW w:w="889" w:type="pct"/>
          </w:tcPr>
          <w:p w14:paraId="101BF7A4"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22.69</w:t>
            </w:r>
          </w:p>
        </w:tc>
        <w:tc>
          <w:tcPr>
            <w:tcW w:w="892" w:type="pct"/>
          </w:tcPr>
          <w:p w14:paraId="1BF7FF95"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7.03</w:t>
            </w:r>
          </w:p>
        </w:tc>
        <w:tc>
          <w:tcPr>
            <w:tcW w:w="899" w:type="pct"/>
          </w:tcPr>
          <w:p w14:paraId="1414C907" w14:textId="77777777" w:rsidR="00735DE3" w:rsidRPr="008675CA" w:rsidRDefault="00735DE3" w:rsidP="003D4573">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11.50%</w:t>
            </w:r>
          </w:p>
        </w:tc>
        <w:tc>
          <w:tcPr>
            <w:tcW w:w="772" w:type="pct"/>
          </w:tcPr>
          <w:p w14:paraId="7C70D979" w14:textId="77777777" w:rsidR="00735DE3" w:rsidRPr="008675CA" w:rsidRDefault="00735DE3" w:rsidP="00CC17B4">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0.86</w:t>
            </w:r>
          </w:p>
        </w:tc>
      </w:tr>
      <w:tr w:rsidR="00735DE3" w:rsidRPr="008675CA" w14:paraId="09A5A570" w14:textId="77777777" w:rsidTr="00735DE3">
        <w:trPr>
          <w:trHeight w:val="289"/>
        </w:trPr>
        <w:tc>
          <w:tcPr>
            <w:tcW w:w="1547" w:type="pct"/>
            <w:shd w:val="clear" w:color="auto" w:fill="auto"/>
            <w:noWrap/>
            <w:vAlign w:val="center"/>
          </w:tcPr>
          <w:p w14:paraId="7CA5DB06" w14:textId="77777777" w:rsidR="00735DE3" w:rsidRPr="008675CA" w:rsidRDefault="00735DE3" w:rsidP="003D4573">
            <w:pPr>
              <w:spacing w:after="0" w:line="240" w:lineRule="auto"/>
              <w:rPr>
                <w:rFonts w:asciiTheme="majorHAnsi" w:eastAsia="Times New Roman" w:hAnsiTheme="majorHAnsi" w:cs="Calibri"/>
                <w:b/>
              </w:rPr>
            </w:pPr>
            <w:r w:rsidRPr="008675CA">
              <w:rPr>
                <w:rFonts w:asciiTheme="majorHAnsi" w:eastAsia="Times New Roman" w:hAnsiTheme="majorHAnsi" w:cs="Calibri"/>
              </w:rPr>
              <w:t>PFC (22 Cr.)</w:t>
            </w:r>
          </w:p>
        </w:tc>
        <w:tc>
          <w:tcPr>
            <w:tcW w:w="889" w:type="pct"/>
          </w:tcPr>
          <w:p w14:paraId="01D063EE" w14:textId="77777777" w:rsidR="00735DE3" w:rsidRPr="008675CA" w:rsidRDefault="00735DE3" w:rsidP="00FF5C52">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22.00</w:t>
            </w:r>
          </w:p>
        </w:tc>
        <w:tc>
          <w:tcPr>
            <w:tcW w:w="892" w:type="pct"/>
          </w:tcPr>
          <w:p w14:paraId="3296408F" w14:textId="77777777" w:rsidR="00735DE3" w:rsidRPr="008675CA" w:rsidRDefault="00735DE3" w:rsidP="00FF5C52">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13.91</w:t>
            </w:r>
          </w:p>
        </w:tc>
        <w:tc>
          <w:tcPr>
            <w:tcW w:w="899" w:type="pct"/>
          </w:tcPr>
          <w:p w14:paraId="4937700A" w14:textId="77777777" w:rsidR="00735DE3" w:rsidRPr="008675CA" w:rsidRDefault="00735DE3" w:rsidP="00FF5C52">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11.50%</w:t>
            </w:r>
          </w:p>
        </w:tc>
        <w:tc>
          <w:tcPr>
            <w:tcW w:w="772" w:type="pct"/>
          </w:tcPr>
          <w:p w14:paraId="6ED2020D" w14:textId="77777777" w:rsidR="00735DE3" w:rsidRPr="008675CA" w:rsidRDefault="00735DE3" w:rsidP="00CC17B4">
            <w:pPr>
              <w:spacing w:after="0" w:line="240" w:lineRule="auto"/>
              <w:ind w:left="-14"/>
              <w:jc w:val="center"/>
              <w:rPr>
                <w:rFonts w:asciiTheme="majorHAnsi" w:eastAsia="Times New Roman" w:hAnsiTheme="majorHAnsi" w:cs="Calibri"/>
              </w:rPr>
            </w:pPr>
            <w:r w:rsidRPr="008675CA">
              <w:rPr>
                <w:rFonts w:asciiTheme="majorHAnsi" w:eastAsia="Times New Roman" w:hAnsiTheme="majorHAnsi" w:cs="Calibri"/>
              </w:rPr>
              <w:t>1.08</w:t>
            </w:r>
          </w:p>
        </w:tc>
      </w:tr>
      <w:tr w:rsidR="00735DE3" w:rsidRPr="008675CA" w14:paraId="20EDAEDA" w14:textId="77777777" w:rsidTr="00735DE3">
        <w:trPr>
          <w:trHeight w:val="289"/>
        </w:trPr>
        <w:tc>
          <w:tcPr>
            <w:tcW w:w="1547" w:type="pct"/>
            <w:shd w:val="clear" w:color="auto" w:fill="auto"/>
            <w:noWrap/>
            <w:vAlign w:val="center"/>
          </w:tcPr>
          <w:p w14:paraId="32C85EC7" w14:textId="77777777" w:rsidR="00735DE3" w:rsidRPr="008675CA" w:rsidRDefault="00735DE3" w:rsidP="00CC17B4">
            <w:pPr>
              <w:spacing w:after="0" w:line="240" w:lineRule="auto"/>
              <w:rPr>
                <w:rFonts w:asciiTheme="majorHAnsi" w:eastAsia="Times New Roman" w:hAnsiTheme="majorHAnsi" w:cs="Calibri"/>
                <w:b/>
              </w:rPr>
            </w:pPr>
            <w:r w:rsidRPr="008675CA">
              <w:rPr>
                <w:rFonts w:asciiTheme="majorHAnsi" w:eastAsia="Times New Roman" w:hAnsiTheme="majorHAnsi" w:cs="Calibri"/>
                <w:b/>
              </w:rPr>
              <w:t xml:space="preserve">Total </w:t>
            </w:r>
          </w:p>
        </w:tc>
        <w:tc>
          <w:tcPr>
            <w:tcW w:w="889" w:type="pct"/>
          </w:tcPr>
          <w:p w14:paraId="4BE8CEC3" w14:textId="77777777" w:rsidR="00735DE3" w:rsidRPr="008675CA" w:rsidRDefault="00735DE3" w:rsidP="00735DE3">
            <w:pPr>
              <w:spacing w:after="0" w:line="240" w:lineRule="auto"/>
              <w:ind w:left="-14"/>
              <w:jc w:val="center"/>
              <w:rPr>
                <w:rFonts w:asciiTheme="majorHAnsi" w:eastAsia="Times New Roman" w:hAnsiTheme="majorHAnsi" w:cs="Calibri"/>
                <w:b/>
              </w:rPr>
            </w:pPr>
            <w:r w:rsidRPr="008675CA">
              <w:rPr>
                <w:rFonts w:asciiTheme="majorHAnsi" w:eastAsia="Times New Roman" w:hAnsiTheme="majorHAnsi" w:cs="Calibri"/>
                <w:b/>
              </w:rPr>
              <w:t>538.58</w:t>
            </w:r>
          </w:p>
        </w:tc>
        <w:tc>
          <w:tcPr>
            <w:tcW w:w="892" w:type="pct"/>
          </w:tcPr>
          <w:p w14:paraId="3D50D9D8" w14:textId="77777777" w:rsidR="00735DE3" w:rsidRPr="008675CA" w:rsidRDefault="00735DE3" w:rsidP="00735DE3">
            <w:pPr>
              <w:spacing w:after="0" w:line="240" w:lineRule="auto"/>
              <w:ind w:left="-14"/>
              <w:jc w:val="center"/>
              <w:rPr>
                <w:rFonts w:asciiTheme="majorHAnsi" w:eastAsia="Times New Roman" w:hAnsiTheme="majorHAnsi" w:cs="Calibri"/>
                <w:b/>
              </w:rPr>
            </w:pPr>
            <w:r w:rsidRPr="008675CA">
              <w:rPr>
                <w:rFonts w:asciiTheme="majorHAnsi" w:eastAsia="Times New Roman" w:hAnsiTheme="majorHAnsi" w:cs="Calibri"/>
                <w:b/>
              </w:rPr>
              <w:t>479.04</w:t>
            </w:r>
          </w:p>
        </w:tc>
        <w:tc>
          <w:tcPr>
            <w:tcW w:w="899" w:type="pct"/>
          </w:tcPr>
          <w:p w14:paraId="61C2067D" w14:textId="77777777" w:rsidR="00735DE3" w:rsidRPr="008675CA" w:rsidRDefault="00735DE3" w:rsidP="00735DE3">
            <w:pPr>
              <w:spacing w:after="0" w:line="240" w:lineRule="auto"/>
              <w:ind w:left="-14"/>
              <w:jc w:val="center"/>
              <w:rPr>
                <w:rFonts w:asciiTheme="majorHAnsi" w:eastAsia="Times New Roman" w:hAnsiTheme="majorHAnsi" w:cs="Calibri"/>
                <w:b/>
              </w:rPr>
            </w:pPr>
          </w:p>
        </w:tc>
        <w:tc>
          <w:tcPr>
            <w:tcW w:w="772" w:type="pct"/>
          </w:tcPr>
          <w:p w14:paraId="6B7FCD23" w14:textId="77777777" w:rsidR="00735DE3" w:rsidRPr="008675CA" w:rsidRDefault="00735DE3" w:rsidP="00735DE3">
            <w:pPr>
              <w:spacing w:after="0" w:line="240" w:lineRule="auto"/>
              <w:ind w:left="-14"/>
              <w:jc w:val="center"/>
              <w:rPr>
                <w:rFonts w:asciiTheme="majorHAnsi" w:eastAsia="Times New Roman" w:hAnsiTheme="majorHAnsi" w:cs="Calibri"/>
                <w:b/>
              </w:rPr>
            </w:pPr>
            <w:r w:rsidRPr="008675CA">
              <w:rPr>
                <w:rFonts w:asciiTheme="majorHAnsi" w:eastAsia="Times New Roman" w:hAnsiTheme="majorHAnsi" w:cs="Calibri"/>
                <w:b/>
              </w:rPr>
              <w:t>42.87</w:t>
            </w:r>
          </w:p>
        </w:tc>
      </w:tr>
    </w:tbl>
    <w:p w14:paraId="6155265B" w14:textId="15786BD8" w:rsidR="00DA77FC" w:rsidRPr="008675CA" w:rsidRDefault="00735DE3" w:rsidP="00DA77FC">
      <w:pPr>
        <w:spacing w:after="0"/>
        <w:ind w:left="360"/>
        <w:jc w:val="both"/>
        <w:rPr>
          <w:rFonts w:asciiTheme="majorHAnsi" w:hAnsiTheme="majorHAnsi"/>
          <w:color w:val="FF0000"/>
        </w:rPr>
      </w:pPr>
      <w:r w:rsidRPr="008675CA">
        <w:rPr>
          <w:rFonts w:asciiTheme="majorHAnsi" w:hAnsiTheme="majorHAnsi"/>
        </w:rPr>
        <w:lastRenderedPageBreak/>
        <w:t>As per the order (table 16), t</w:t>
      </w:r>
      <w:r w:rsidR="00DA77FC" w:rsidRPr="008675CA">
        <w:rPr>
          <w:rFonts w:asciiTheme="majorHAnsi" w:hAnsiTheme="majorHAnsi"/>
        </w:rPr>
        <w:t xml:space="preserve">he Repayment amounts, Opening and Closing balance of loans mentioned in the impugned order are not matching with the loan statements provided </w:t>
      </w:r>
      <w:r w:rsidR="00940251">
        <w:rPr>
          <w:rFonts w:asciiTheme="majorHAnsi" w:hAnsiTheme="majorHAnsi"/>
        </w:rPr>
        <w:t>in</w:t>
      </w:r>
      <w:r w:rsidR="00DA77FC" w:rsidRPr="008675CA">
        <w:rPr>
          <w:rFonts w:asciiTheme="majorHAnsi" w:hAnsiTheme="majorHAnsi"/>
        </w:rPr>
        <w:t xml:space="preserve"> audited accounts. The closing balance of loans has been erroneous</w:t>
      </w:r>
      <w:r w:rsidRPr="008675CA">
        <w:rPr>
          <w:rFonts w:asciiTheme="majorHAnsi" w:hAnsiTheme="majorHAnsi"/>
        </w:rPr>
        <w:t xml:space="preserve">ly calculated as </w:t>
      </w:r>
      <w:r w:rsidR="00DA77FC" w:rsidRPr="007C7E6D">
        <w:rPr>
          <w:rFonts w:asciiTheme="majorHAnsi" w:hAnsiTheme="majorHAnsi"/>
          <w:highlight w:val="lightGray"/>
        </w:rPr>
        <w:t>R</w:t>
      </w:r>
      <w:r w:rsidRPr="007C7E6D">
        <w:rPr>
          <w:rFonts w:asciiTheme="majorHAnsi" w:hAnsiTheme="majorHAnsi"/>
          <w:highlight w:val="lightGray"/>
        </w:rPr>
        <w:t xml:space="preserve">s. </w:t>
      </w:r>
      <w:r w:rsidR="007C7E6D" w:rsidRPr="007C7E6D">
        <w:rPr>
          <w:rFonts w:asciiTheme="majorHAnsi" w:hAnsiTheme="majorHAnsi"/>
          <w:highlight w:val="lightGray"/>
        </w:rPr>
        <w:t>257.12</w:t>
      </w:r>
      <w:r w:rsidRPr="007C7E6D">
        <w:rPr>
          <w:rFonts w:asciiTheme="majorHAnsi" w:hAnsiTheme="majorHAnsi"/>
          <w:highlight w:val="lightGray"/>
        </w:rPr>
        <w:t xml:space="preserve"> Cr instead</w:t>
      </w:r>
      <w:r w:rsidR="0037292C">
        <w:rPr>
          <w:rFonts w:asciiTheme="majorHAnsi" w:hAnsiTheme="majorHAnsi"/>
        </w:rPr>
        <w:t xml:space="preserve"> of </w:t>
      </w:r>
      <w:r w:rsidRPr="008675CA">
        <w:rPr>
          <w:rFonts w:asciiTheme="majorHAnsi" w:hAnsiTheme="majorHAnsi"/>
        </w:rPr>
        <w:t>R</w:t>
      </w:r>
      <w:r w:rsidR="0037292C">
        <w:rPr>
          <w:rFonts w:asciiTheme="majorHAnsi" w:hAnsiTheme="majorHAnsi"/>
        </w:rPr>
        <w:t>s.</w:t>
      </w:r>
      <w:r w:rsidRPr="008675CA">
        <w:rPr>
          <w:rFonts w:asciiTheme="majorHAnsi" w:hAnsiTheme="majorHAnsi"/>
        </w:rPr>
        <w:t xml:space="preserve"> 479.04 </w:t>
      </w:r>
      <w:r w:rsidR="00DA77FC" w:rsidRPr="008675CA">
        <w:rPr>
          <w:rFonts w:asciiTheme="majorHAnsi" w:hAnsiTheme="majorHAnsi"/>
        </w:rPr>
        <w:t>Cr for FY 2019-20</w:t>
      </w:r>
      <w:r w:rsidR="00DA77FC" w:rsidRPr="008675CA">
        <w:rPr>
          <w:rFonts w:asciiTheme="majorHAnsi" w:hAnsiTheme="majorHAnsi"/>
          <w:color w:val="FF0000"/>
        </w:rPr>
        <w:t>.</w:t>
      </w:r>
    </w:p>
    <w:p w14:paraId="1AAD5670" w14:textId="77777777" w:rsidR="00DA77FC" w:rsidRPr="00705436" w:rsidRDefault="00DA77FC" w:rsidP="00DA77FC">
      <w:pPr>
        <w:spacing w:after="0"/>
        <w:ind w:left="360"/>
        <w:jc w:val="both"/>
        <w:rPr>
          <w:rFonts w:asciiTheme="majorHAnsi" w:hAnsiTheme="majorHAnsi"/>
          <w:sz w:val="16"/>
        </w:rPr>
      </w:pPr>
    </w:p>
    <w:p w14:paraId="06D9D750" w14:textId="6D4074DE" w:rsidR="00DA77FC" w:rsidRPr="008675CA" w:rsidRDefault="00DA77FC" w:rsidP="00DA77FC">
      <w:pPr>
        <w:pStyle w:val="ListParagraph"/>
        <w:ind w:left="360"/>
        <w:jc w:val="both"/>
        <w:rPr>
          <w:rFonts w:asciiTheme="majorHAnsi" w:eastAsia="Arial" w:hAnsiTheme="majorHAnsi"/>
          <w:b/>
          <w:szCs w:val="22"/>
          <w:lang w:eastAsia="en-IN"/>
        </w:rPr>
      </w:pPr>
      <w:r w:rsidRPr="008675CA">
        <w:rPr>
          <w:rFonts w:asciiTheme="majorHAnsi" w:eastAsia="Arial" w:hAnsiTheme="majorHAnsi"/>
          <w:b/>
          <w:szCs w:val="22"/>
          <w:lang w:eastAsia="en-IN"/>
        </w:rPr>
        <w:t xml:space="preserve">Further, the Hon’ble Commission has not considered for allowing interest on </w:t>
      </w:r>
      <w:r w:rsidR="00776BDC" w:rsidRPr="008675CA">
        <w:rPr>
          <w:rFonts w:asciiTheme="majorHAnsi" w:eastAsia="Arial" w:hAnsiTheme="majorHAnsi"/>
          <w:b/>
          <w:szCs w:val="22"/>
          <w:lang w:eastAsia="en-IN"/>
        </w:rPr>
        <w:t>take</w:t>
      </w:r>
      <w:r w:rsidR="00776BDC">
        <w:rPr>
          <w:rFonts w:asciiTheme="majorHAnsi" w:eastAsia="Arial" w:hAnsiTheme="majorHAnsi"/>
          <w:b/>
          <w:szCs w:val="22"/>
          <w:lang w:eastAsia="en-IN"/>
        </w:rPr>
        <w:t>-</w:t>
      </w:r>
      <w:r w:rsidR="00776BDC" w:rsidRPr="008675CA">
        <w:rPr>
          <w:rFonts w:asciiTheme="majorHAnsi" w:eastAsia="Arial" w:hAnsiTheme="majorHAnsi"/>
          <w:b/>
          <w:szCs w:val="22"/>
          <w:lang w:eastAsia="en-IN"/>
        </w:rPr>
        <w:t>out</w:t>
      </w:r>
      <w:r w:rsidRPr="008675CA">
        <w:rPr>
          <w:rFonts w:asciiTheme="majorHAnsi" w:eastAsia="Arial" w:hAnsiTheme="majorHAnsi"/>
          <w:b/>
          <w:szCs w:val="22"/>
          <w:lang w:eastAsia="en-IN"/>
        </w:rPr>
        <w:t xml:space="preserve"> financing loan. MePGCL has taken a</w:t>
      </w:r>
      <w:r w:rsidR="00735DE3" w:rsidRPr="008675CA">
        <w:rPr>
          <w:rFonts w:asciiTheme="majorHAnsi" w:eastAsia="Arial" w:hAnsiTheme="majorHAnsi"/>
          <w:b/>
          <w:szCs w:val="22"/>
          <w:lang w:eastAsia="en-IN"/>
        </w:rPr>
        <w:t xml:space="preserve"> take</w:t>
      </w:r>
      <w:r w:rsidR="00776BDC">
        <w:rPr>
          <w:rFonts w:asciiTheme="majorHAnsi" w:eastAsia="Arial" w:hAnsiTheme="majorHAnsi"/>
          <w:b/>
          <w:szCs w:val="22"/>
          <w:lang w:eastAsia="en-IN"/>
        </w:rPr>
        <w:t>-</w:t>
      </w:r>
      <w:r w:rsidR="00735DE3" w:rsidRPr="008675CA">
        <w:rPr>
          <w:rFonts w:asciiTheme="majorHAnsi" w:eastAsia="Arial" w:hAnsiTheme="majorHAnsi"/>
          <w:b/>
          <w:szCs w:val="22"/>
          <w:lang w:eastAsia="en-IN"/>
        </w:rPr>
        <w:t xml:space="preserve">out financing of </w:t>
      </w:r>
      <w:r w:rsidRPr="008675CA">
        <w:rPr>
          <w:rFonts w:asciiTheme="majorHAnsi" w:eastAsia="Arial" w:hAnsiTheme="majorHAnsi"/>
          <w:b/>
          <w:szCs w:val="22"/>
          <w:lang w:eastAsia="en-IN"/>
        </w:rPr>
        <w:t>R</w:t>
      </w:r>
      <w:r w:rsidR="00735DE3" w:rsidRPr="008675CA">
        <w:rPr>
          <w:rFonts w:asciiTheme="majorHAnsi" w:eastAsia="Arial" w:hAnsiTheme="majorHAnsi"/>
          <w:b/>
          <w:szCs w:val="22"/>
          <w:lang w:eastAsia="en-IN"/>
        </w:rPr>
        <w:t>s.</w:t>
      </w:r>
      <w:r w:rsidRPr="008675CA">
        <w:rPr>
          <w:rFonts w:asciiTheme="majorHAnsi" w:eastAsia="Arial" w:hAnsiTheme="majorHAnsi"/>
          <w:b/>
          <w:szCs w:val="22"/>
          <w:lang w:eastAsia="en-IN"/>
        </w:rPr>
        <w:t xml:space="preserve"> 170.00 crore and R</w:t>
      </w:r>
      <w:r w:rsidR="00735DE3" w:rsidRPr="008675CA">
        <w:rPr>
          <w:rFonts w:asciiTheme="majorHAnsi" w:eastAsia="Arial" w:hAnsiTheme="majorHAnsi"/>
          <w:b/>
          <w:szCs w:val="22"/>
          <w:lang w:eastAsia="en-IN"/>
        </w:rPr>
        <w:t>s.</w:t>
      </w:r>
      <w:r w:rsidRPr="008675CA">
        <w:rPr>
          <w:rFonts w:asciiTheme="majorHAnsi" w:eastAsia="Arial" w:hAnsiTheme="majorHAnsi"/>
          <w:b/>
          <w:szCs w:val="22"/>
          <w:lang w:eastAsia="en-IN"/>
        </w:rPr>
        <w:t xml:space="preserve"> 60.00 crore which is in-line with RBI Guidelines dated. 2.06.2016 attached in the true up petition to </w:t>
      </w:r>
      <w:r w:rsidRPr="00776BDC">
        <w:rPr>
          <w:rFonts w:asciiTheme="majorHAnsi" w:eastAsia="Arial" w:hAnsiTheme="majorHAnsi"/>
          <w:b/>
          <w:szCs w:val="22"/>
          <w:highlight w:val="lightGray"/>
          <w:lang w:eastAsia="en-IN"/>
        </w:rPr>
        <w:t>rep</w:t>
      </w:r>
      <w:r w:rsidR="00776BDC" w:rsidRPr="00776BDC">
        <w:rPr>
          <w:rFonts w:asciiTheme="majorHAnsi" w:eastAsia="Arial" w:hAnsiTheme="majorHAnsi"/>
          <w:b/>
          <w:szCs w:val="22"/>
          <w:highlight w:val="lightGray"/>
          <w:lang w:eastAsia="en-IN"/>
        </w:rPr>
        <w:t>ay</w:t>
      </w:r>
      <w:r w:rsidRPr="008675CA">
        <w:rPr>
          <w:rFonts w:asciiTheme="majorHAnsi" w:eastAsia="Arial" w:hAnsiTheme="majorHAnsi"/>
          <w:b/>
          <w:szCs w:val="22"/>
          <w:lang w:eastAsia="en-IN"/>
        </w:rPr>
        <w:t xml:space="preserve"> the bonds and clear the</w:t>
      </w:r>
      <w:r w:rsidR="00BC407B" w:rsidRPr="008675CA">
        <w:rPr>
          <w:rFonts w:asciiTheme="majorHAnsi" w:eastAsia="Arial" w:hAnsiTheme="majorHAnsi"/>
          <w:b/>
          <w:szCs w:val="22"/>
          <w:lang w:eastAsia="en-IN"/>
        </w:rPr>
        <w:t xml:space="preserve"> </w:t>
      </w:r>
      <w:r w:rsidRPr="008675CA">
        <w:rPr>
          <w:rFonts w:asciiTheme="majorHAnsi" w:eastAsia="Arial" w:hAnsiTheme="majorHAnsi"/>
          <w:b/>
          <w:szCs w:val="22"/>
          <w:lang w:eastAsia="en-IN"/>
        </w:rPr>
        <w:t>outstanding dues.</w:t>
      </w:r>
      <w:r w:rsidR="00735DE3" w:rsidRPr="008675CA">
        <w:rPr>
          <w:rFonts w:asciiTheme="majorHAnsi" w:eastAsia="Arial" w:hAnsiTheme="majorHAnsi"/>
          <w:b/>
          <w:szCs w:val="22"/>
          <w:lang w:eastAsia="en-IN"/>
        </w:rPr>
        <w:t xml:space="preserve"> Since, refinancing of loan is as per the guidelines of RBI, therefore, MePGCL </w:t>
      </w:r>
      <w:r w:rsidR="00937755">
        <w:rPr>
          <w:rFonts w:asciiTheme="majorHAnsi" w:eastAsia="Arial" w:hAnsiTheme="majorHAnsi"/>
          <w:b/>
          <w:szCs w:val="22"/>
          <w:lang w:eastAsia="en-IN"/>
        </w:rPr>
        <w:t>request to kindly approve</w:t>
      </w:r>
      <w:r w:rsidR="00B35CD8" w:rsidRPr="008675CA">
        <w:rPr>
          <w:rFonts w:asciiTheme="majorHAnsi" w:eastAsia="Arial" w:hAnsiTheme="majorHAnsi"/>
          <w:b/>
          <w:szCs w:val="22"/>
          <w:lang w:eastAsia="en-IN"/>
        </w:rPr>
        <w:t xml:space="preserve"> </w:t>
      </w:r>
      <w:r w:rsidR="00D6100A">
        <w:rPr>
          <w:rFonts w:asciiTheme="majorHAnsi" w:eastAsia="Arial" w:hAnsiTheme="majorHAnsi"/>
          <w:b/>
          <w:szCs w:val="22"/>
          <w:lang w:eastAsia="en-IN"/>
        </w:rPr>
        <w:t>as file</w:t>
      </w:r>
      <w:r w:rsidR="00E758A4">
        <w:rPr>
          <w:rFonts w:asciiTheme="majorHAnsi" w:eastAsia="Arial" w:hAnsiTheme="majorHAnsi"/>
          <w:b/>
          <w:szCs w:val="22"/>
          <w:lang w:eastAsia="en-IN"/>
        </w:rPr>
        <w:t>d</w:t>
      </w:r>
      <w:r w:rsidR="00D6100A">
        <w:rPr>
          <w:rFonts w:asciiTheme="majorHAnsi" w:eastAsia="Arial" w:hAnsiTheme="majorHAnsi"/>
          <w:b/>
          <w:szCs w:val="22"/>
          <w:lang w:eastAsia="en-IN"/>
        </w:rPr>
        <w:t xml:space="preserve"> in</w:t>
      </w:r>
      <w:r w:rsidR="00B35CD8" w:rsidRPr="008675CA">
        <w:rPr>
          <w:rFonts w:asciiTheme="majorHAnsi" w:eastAsia="Arial" w:hAnsiTheme="majorHAnsi"/>
          <w:b/>
          <w:szCs w:val="22"/>
          <w:lang w:eastAsia="en-IN"/>
        </w:rPr>
        <w:t xml:space="preserve"> the review. </w:t>
      </w:r>
    </w:p>
    <w:p w14:paraId="6E25DC9F" w14:textId="77777777" w:rsidR="00DA77FC" w:rsidRPr="008675CA" w:rsidRDefault="00DA77FC" w:rsidP="00DA77FC">
      <w:pPr>
        <w:pStyle w:val="Caption"/>
        <w:keepNext/>
        <w:spacing w:after="0"/>
        <w:ind w:left="90"/>
        <w:jc w:val="center"/>
        <w:rPr>
          <w:rFonts w:asciiTheme="majorHAnsi" w:hAnsiTheme="majorHAnsi"/>
          <w:b/>
          <w:i w:val="0"/>
          <w:color w:val="auto"/>
          <w:sz w:val="22"/>
          <w:szCs w:val="22"/>
        </w:rPr>
      </w:pPr>
      <w:r w:rsidRPr="008675CA">
        <w:rPr>
          <w:rFonts w:asciiTheme="majorHAnsi" w:hAnsiTheme="majorHAnsi"/>
          <w:b/>
          <w:i w:val="0"/>
          <w:color w:val="auto"/>
          <w:sz w:val="22"/>
          <w:szCs w:val="22"/>
        </w:rPr>
        <w:tab/>
      </w:r>
    </w:p>
    <w:p w14:paraId="3D8DA152" w14:textId="77777777" w:rsidR="00DA77FC" w:rsidRPr="008675CA" w:rsidRDefault="00DA77FC" w:rsidP="00DA77FC">
      <w:pPr>
        <w:pStyle w:val="Caption"/>
        <w:keepNext/>
        <w:spacing w:after="0"/>
        <w:ind w:left="90"/>
        <w:jc w:val="center"/>
        <w:rPr>
          <w:rFonts w:asciiTheme="majorHAnsi" w:eastAsia="Times New Roman" w:hAnsiTheme="majorHAnsi" w:cs="Times New Roman"/>
          <w:b/>
          <w:bCs/>
          <w:i w:val="0"/>
          <w:iCs w:val="0"/>
          <w:color w:val="auto"/>
          <w:sz w:val="22"/>
          <w:szCs w:val="22"/>
          <w:lang w:val="en-GB"/>
        </w:rPr>
      </w:pPr>
      <w:r w:rsidRPr="008675CA">
        <w:rPr>
          <w:rFonts w:asciiTheme="majorHAnsi" w:hAnsiTheme="majorHAnsi"/>
          <w:b/>
          <w:i w:val="0"/>
          <w:color w:val="auto"/>
          <w:sz w:val="22"/>
          <w:szCs w:val="22"/>
        </w:rPr>
        <w:t>Table</w:t>
      </w:r>
      <w:r w:rsidR="00937755">
        <w:rPr>
          <w:rFonts w:asciiTheme="majorHAnsi" w:hAnsiTheme="majorHAnsi"/>
          <w:b/>
          <w:i w:val="0"/>
          <w:color w:val="auto"/>
          <w:sz w:val="22"/>
          <w:szCs w:val="22"/>
        </w:rPr>
        <w:t xml:space="preserve"> 6</w:t>
      </w:r>
      <w:r w:rsidRPr="008675CA">
        <w:rPr>
          <w:rFonts w:asciiTheme="majorHAnsi" w:hAnsiTheme="majorHAnsi"/>
          <w:b/>
          <w:i w:val="0"/>
          <w:color w:val="auto"/>
          <w:sz w:val="22"/>
          <w:szCs w:val="22"/>
        </w:rPr>
        <w:t xml:space="preserve">: Additional </w:t>
      </w:r>
      <w:r w:rsidRPr="008675CA">
        <w:rPr>
          <w:rFonts w:asciiTheme="majorHAnsi" w:eastAsia="Times New Roman" w:hAnsiTheme="majorHAnsi" w:cs="Times New Roman"/>
          <w:b/>
          <w:bCs/>
          <w:i w:val="0"/>
          <w:iCs w:val="0"/>
          <w:color w:val="auto"/>
          <w:sz w:val="22"/>
          <w:szCs w:val="22"/>
          <w:lang w:val="en-GB"/>
        </w:rPr>
        <w:t xml:space="preserve">IFC </w:t>
      </w:r>
      <w:r w:rsidRPr="008675CA">
        <w:rPr>
          <w:rFonts w:asciiTheme="majorHAnsi" w:hAnsiTheme="majorHAnsi"/>
          <w:b/>
          <w:i w:val="0"/>
          <w:color w:val="auto"/>
          <w:sz w:val="22"/>
          <w:szCs w:val="22"/>
        </w:rPr>
        <w:t>Claim of MePGCL</w:t>
      </w:r>
      <w:r w:rsidR="00937755">
        <w:rPr>
          <w:rFonts w:asciiTheme="majorHAnsi" w:hAnsiTheme="majorHAnsi"/>
          <w:b/>
          <w:i w:val="0"/>
          <w:color w:val="auto"/>
          <w:sz w:val="22"/>
          <w:szCs w:val="22"/>
        </w:rPr>
        <w:t xml:space="preserve"> </w:t>
      </w:r>
      <w:r w:rsidRPr="008675CA">
        <w:rPr>
          <w:rFonts w:asciiTheme="majorHAnsi" w:eastAsia="Times New Roman" w:hAnsiTheme="majorHAnsi" w:cs="Times New Roman"/>
          <w:b/>
          <w:bCs/>
          <w:i w:val="0"/>
          <w:iCs w:val="0"/>
          <w:color w:val="auto"/>
          <w:sz w:val="22"/>
          <w:szCs w:val="22"/>
          <w:lang w:val="en-GB"/>
        </w:rPr>
        <w:t>Based on Revised Components (INR Cr.)</w:t>
      </w:r>
    </w:p>
    <w:tbl>
      <w:tblPr>
        <w:tblStyle w:val="TableGrid2"/>
        <w:tblW w:w="4764" w:type="pct"/>
        <w:tblInd w:w="279" w:type="dxa"/>
        <w:tblLook w:val="04A0" w:firstRow="1" w:lastRow="0" w:firstColumn="1" w:lastColumn="0" w:noHBand="0" w:noVBand="1"/>
      </w:tblPr>
      <w:tblGrid>
        <w:gridCol w:w="7748"/>
        <w:gridCol w:w="1621"/>
      </w:tblGrid>
      <w:tr w:rsidR="00606E07" w:rsidRPr="008675CA" w14:paraId="2C20A46D" w14:textId="77777777" w:rsidTr="00EC3BC5">
        <w:trPr>
          <w:trHeight w:val="252"/>
          <w:tblHeader/>
        </w:trPr>
        <w:tc>
          <w:tcPr>
            <w:tcW w:w="4135" w:type="pct"/>
            <w:shd w:val="clear" w:color="auto" w:fill="D9D9D9" w:themeFill="background1" w:themeFillShade="D9"/>
          </w:tcPr>
          <w:p w14:paraId="7D728D71" w14:textId="77777777" w:rsidR="00606E07" w:rsidRPr="008675CA" w:rsidRDefault="00606E07" w:rsidP="003D4573">
            <w:pPr>
              <w:rPr>
                <w:rFonts w:asciiTheme="majorHAnsi" w:eastAsia="Arial" w:hAnsiTheme="majorHAnsi" w:cs="Times New Roman"/>
                <w:b/>
                <w:lang w:eastAsia="en-IN"/>
              </w:rPr>
            </w:pPr>
            <w:r w:rsidRPr="008675CA">
              <w:rPr>
                <w:rFonts w:asciiTheme="majorHAnsi" w:eastAsia="Arial" w:hAnsiTheme="majorHAnsi" w:cs="Times New Roman"/>
                <w:b/>
                <w:lang w:eastAsia="en-IN"/>
              </w:rPr>
              <w:t>Particulars</w:t>
            </w:r>
          </w:p>
        </w:tc>
        <w:tc>
          <w:tcPr>
            <w:tcW w:w="865" w:type="pct"/>
            <w:shd w:val="clear" w:color="auto" w:fill="D9D9D9" w:themeFill="background1" w:themeFillShade="D9"/>
          </w:tcPr>
          <w:p w14:paraId="2EA93345" w14:textId="77777777" w:rsidR="00606E07" w:rsidRPr="008675CA" w:rsidRDefault="00B35CD8" w:rsidP="003D4573">
            <w:pPr>
              <w:rPr>
                <w:rFonts w:asciiTheme="majorHAnsi" w:eastAsia="Arial" w:hAnsiTheme="majorHAnsi" w:cs="Times New Roman"/>
                <w:b/>
                <w:lang w:eastAsia="en-IN"/>
              </w:rPr>
            </w:pPr>
            <w:r w:rsidRPr="008675CA">
              <w:rPr>
                <w:rFonts w:asciiTheme="majorHAnsi" w:eastAsia="Arial" w:hAnsiTheme="majorHAnsi" w:cs="Times New Roman"/>
                <w:b/>
                <w:lang w:eastAsia="en-IN"/>
              </w:rPr>
              <w:t>FY 2020-21</w:t>
            </w:r>
          </w:p>
        </w:tc>
      </w:tr>
      <w:tr w:rsidR="00606E07" w:rsidRPr="008675CA" w14:paraId="5D349E7C" w14:textId="77777777" w:rsidTr="00EC3BC5">
        <w:trPr>
          <w:trHeight w:val="305"/>
        </w:trPr>
        <w:tc>
          <w:tcPr>
            <w:tcW w:w="4135" w:type="pct"/>
          </w:tcPr>
          <w:p w14:paraId="7B50B293" w14:textId="77777777" w:rsidR="00606E07" w:rsidRPr="007351A8" w:rsidRDefault="00606E07" w:rsidP="003D4573">
            <w:pPr>
              <w:rPr>
                <w:rFonts w:asciiTheme="majorHAnsi" w:eastAsia="Arial" w:hAnsiTheme="majorHAnsi" w:cs="Times New Roman"/>
                <w:b/>
                <w:bCs/>
                <w:i/>
                <w:iCs/>
                <w:highlight w:val="lightGray"/>
                <w:lang w:eastAsia="en-IN"/>
              </w:rPr>
            </w:pPr>
            <w:r w:rsidRPr="00B35890">
              <w:rPr>
                <w:rFonts w:asciiTheme="majorHAnsi" w:eastAsia="Arial" w:hAnsiTheme="majorHAnsi" w:cs="Times New Roman"/>
                <w:b/>
                <w:bCs/>
                <w:i/>
                <w:iCs/>
                <w:lang w:eastAsia="en-IN"/>
              </w:rPr>
              <w:t>Interest and Finance Charges claimed by MePGCL in the True Up petition (1)</w:t>
            </w:r>
          </w:p>
        </w:tc>
        <w:tc>
          <w:tcPr>
            <w:tcW w:w="865" w:type="pct"/>
          </w:tcPr>
          <w:p w14:paraId="61DFAE75" w14:textId="6B53D802" w:rsidR="00606E07" w:rsidRPr="00B35890" w:rsidRDefault="007351A8" w:rsidP="003D4573">
            <w:pPr>
              <w:jc w:val="center"/>
              <w:rPr>
                <w:rFonts w:asciiTheme="majorHAnsi" w:eastAsia="Arial" w:hAnsiTheme="majorHAnsi" w:cs="Times New Roman"/>
                <w:b/>
                <w:bCs/>
                <w:i/>
                <w:iCs/>
                <w:lang w:eastAsia="en-IN"/>
              </w:rPr>
            </w:pPr>
            <w:r w:rsidRPr="00B35890">
              <w:rPr>
                <w:rFonts w:asciiTheme="majorHAnsi" w:eastAsia="Arial" w:hAnsiTheme="majorHAnsi" w:cs="Times New Roman"/>
                <w:b/>
                <w:bCs/>
                <w:i/>
                <w:iCs/>
                <w:lang w:eastAsia="en-IN"/>
              </w:rPr>
              <w:t>42.87</w:t>
            </w:r>
          </w:p>
        </w:tc>
      </w:tr>
      <w:tr w:rsidR="00606E07" w:rsidRPr="008675CA" w14:paraId="7E32A5F1" w14:textId="77777777" w:rsidTr="00EC3BC5">
        <w:trPr>
          <w:trHeight w:val="225"/>
        </w:trPr>
        <w:tc>
          <w:tcPr>
            <w:tcW w:w="4135" w:type="pct"/>
          </w:tcPr>
          <w:p w14:paraId="46B0EF09" w14:textId="77777777" w:rsidR="00606E07" w:rsidRPr="008675CA" w:rsidRDefault="00606E07" w:rsidP="003D4573">
            <w:pPr>
              <w:rPr>
                <w:rFonts w:asciiTheme="majorHAnsi" w:eastAsia="Arial" w:hAnsiTheme="majorHAnsi" w:cs="Times New Roman"/>
                <w:lang w:eastAsia="en-IN"/>
              </w:rPr>
            </w:pPr>
            <w:r w:rsidRPr="008675CA">
              <w:rPr>
                <w:rFonts w:asciiTheme="majorHAnsi" w:eastAsia="Arial" w:hAnsiTheme="majorHAnsi" w:cs="Times New Roman"/>
                <w:lang w:eastAsia="en-IN"/>
              </w:rPr>
              <w:t>Interest and Finance Charges allowed by MSERC in the True Up order (2)</w:t>
            </w:r>
          </w:p>
        </w:tc>
        <w:tc>
          <w:tcPr>
            <w:tcW w:w="865" w:type="pct"/>
          </w:tcPr>
          <w:p w14:paraId="0CCF0D01" w14:textId="77777777" w:rsidR="00606E07" w:rsidRPr="008675CA" w:rsidRDefault="00B35CD8" w:rsidP="003D4573">
            <w:pPr>
              <w:jc w:val="center"/>
              <w:rPr>
                <w:rFonts w:asciiTheme="majorHAnsi" w:eastAsia="Arial" w:hAnsiTheme="majorHAnsi" w:cs="Times New Roman"/>
                <w:lang w:eastAsia="en-IN"/>
              </w:rPr>
            </w:pPr>
            <w:r w:rsidRPr="008675CA">
              <w:rPr>
                <w:rFonts w:asciiTheme="majorHAnsi" w:eastAsia="Arial" w:hAnsiTheme="majorHAnsi" w:cs="Times New Roman"/>
                <w:lang w:eastAsia="en-IN"/>
              </w:rPr>
              <w:t>30.78</w:t>
            </w:r>
          </w:p>
        </w:tc>
      </w:tr>
      <w:tr w:rsidR="00606E07" w:rsidRPr="00B35890" w14:paraId="341DD574" w14:textId="77777777" w:rsidTr="00EC3BC5">
        <w:trPr>
          <w:trHeight w:val="451"/>
        </w:trPr>
        <w:tc>
          <w:tcPr>
            <w:tcW w:w="4135" w:type="pct"/>
          </w:tcPr>
          <w:p w14:paraId="781512CC" w14:textId="77777777" w:rsidR="00606E07" w:rsidRPr="00B35890" w:rsidRDefault="00606E07" w:rsidP="003D4573">
            <w:pPr>
              <w:rPr>
                <w:rFonts w:asciiTheme="majorHAnsi" w:eastAsia="Arial" w:hAnsiTheme="majorHAnsi" w:cs="Times New Roman"/>
                <w:b/>
                <w:lang w:eastAsia="en-IN"/>
              </w:rPr>
            </w:pPr>
            <w:r w:rsidRPr="00B35890">
              <w:rPr>
                <w:rFonts w:asciiTheme="majorHAnsi" w:eastAsia="Arial" w:hAnsiTheme="majorHAnsi" w:cs="Times New Roman"/>
                <w:b/>
                <w:lang w:eastAsia="en-IN"/>
              </w:rPr>
              <w:t>Additional Interest and Finance Charges to be allowed in the review petition (3=1-2)</w:t>
            </w:r>
          </w:p>
        </w:tc>
        <w:tc>
          <w:tcPr>
            <w:tcW w:w="865" w:type="pct"/>
          </w:tcPr>
          <w:p w14:paraId="5B7F0CE0" w14:textId="3C1DEA42" w:rsidR="00B2737A" w:rsidRPr="00B35890" w:rsidRDefault="00B2737A" w:rsidP="003D4573">
            <w:pPr>
              <w:jc w:val="center"/>
              <w:rPr>
                <w:rFonts w:asciiTheme="majorHAnsi" w:hAnsiTheme="majorHAnsi" w:cs="Calibri"/>
                <w:b/>
                <w:i/>
                <w:iCs/>
              </w:rPr>
            </w:pPr>
            <w:r w:rsidRPr="00B35890">
              <w:rPr>
                <w:rFonts w:asciiTheme="majorHAnsi" w:hAnsiTheme="majorHAnsi" w:cs="Calibri"/>
                <w:b/>
                <w:i/>
                <w:iCs/>
              </w:rPr>
              <w:t>12.09</w:t>
            </w:r>
          </w:p>
        </w:tc>
      </w:tr>
    </w:tbl>
    <w:p w14:paraId="77928214" w14:textId="52C50847" w:rsidR="00DA77FC" w:rsidRDefault="00DA77FC" w:rsidP="00DA77FC">
      <w:pPr>
        <w:ind w:left="360"/>
        <w:jc w:val="both"/>
        <w:rPr>
          <w:rFonts w:asciiTheme="majorHAnsi" w:eastAsia="Arial" w:hAnsiTheme="majorHAnsi"/>
          <w:lang w:eastAsia="en-IN"/>
        </w:rPr>
      </w:pPr>
      <w:r w:rsidRPr="00B35890">
        <w:rPr>
          <w:rFonts w:asciiTheme="majorHAnsi" w:eastAsia="Arial" w:hAnsiTheme="majorHAnsi"/>
          <w:lang w:eastAsia="en-IN"/>
        </w:rPr>
        <w:t xml:space="preserve">The Hon’ble Commission is requested to allow an additional amount of </w:t>
      </w:r>
      <w:r w:rsidR="00B35CD8" w:rsidRPr="00B35890">
        <w:rPr>
          <w:rFonts w:asciiTheme="majorHAnsi" w:eastAsia="Arial" w:hAnsiTheme="majorHAnsi"/>
          <w:lang w:eastAsia="en-IN"/>
        </w:rPr>
        <w:t>Rs.</w:t>
      </w:r>
      <w:r w:rsidR="00B35890">
        <w:rPr>
          <w:rFonts w:asciiTheme="majorHAnsi" w:eastAsia="Arial" w:hAnsiTheme="majorHAnsi"/>
          <w:lang w:eastAsia="en-IN"/>
        </w:rPr>
        <w:t xml:space="preserve"> </w:t>
      </w:r>
      <w:r w:rsidR="00B2737A" w:rsidRPr="00B35890">
        <w:rPr>
          <w:rFonts w:asciiTheme="majorHAnsi" w:eastAsia="Arial" w:hAnsiTheme="majorHAnsi"/>
          <w:lang w:eastAsia="en-IN"/>
        </w:rPr>
        <w:t>12.09</w:t>
      </w:r>
      <w:r w:rsidR="00B35890">
        <w:rPr>
          <w:rFonts w:asciiTheme="majorHAnsi" w:eastAsia="Arial" w:hAnsiTheme="majorHAnsi"/>
          <w:b/>
          <w:bCs/>
          <w:i/>
          <w:iCs/>
          <w:lang w:eastAsia="en-IN"/>
        </w:rPr>
        <w:t xml:space="preserve"> </w:t>
      </w:r>
      <w:r w:rsidR="00B35CD8" w:rsidRPr="00B35890">
        <w:rPr>
          <w:rFonts w:asciiTheme="majorHAnsi" w:eastAsia="Arial" w:hAnsiTheme="majorHAnsi"/>
          <w:lang w:eastAsia="en-IN"/>
        </w:rPr>
        <w:t>Cr.</w:t>
      </w:r>
      <w:r w:rsidRPr="00B35890">
        <w:rPr>
          <w:rFonts w:asciiTheme="majorHAnsi" w:eastAsia="Arial" w:hAnsiTheme="majorHAnsi"/>
          <w:lang w:eastAsia="en-IN"/>
        </w:rPr>
        <w:t xml:space="preserve"> for FY </w:t>
      </w:r>
      <w:r w:rsidR="00B35CD8" w:rsidRPr="00B35890">
        <w:rPr>
          <w:rFonts w:asciiTheme="majorHAnsi" w:eastAsia="Arial" w:hAnsiTheme="majorHAnsi"/>
          <w:lang w:eastAsia="en-IN"/>
        </w:rPr>
        <w:t>2020-21</w:t>
      </w:r>
      <w:r w:rsidRPr="00B35890">
        <w:rPr>
          <w:rFonts w:asciiTheme="majorHAnsi" w:eastAsia="Arial" w:hAnsiTheme="majorHAnsi"/>
          <w:lang w:eastAsia="en-IN"/>
        </w:rPr>
        <w:t xml:space="preserve"> for Interest and Finance charge as shown in the table above.</w:t>
      </w:r>
    </w:p>
    <w:p w14:paraId="1BD87098" w14:textId="77777777" w:rsidR="009B02BB" w:rsidRDefault="009B02BB" w:rsidP="009B02BB">
      <w:pPr>
        <w:pStyle w:val="head2"/>
        <w:spacing w:before="0" w:after="0"/>
        <w:ind w:left="0" w:firstLine="0"/>
        <w:rPr>
          <w:rFonts w:asciiTheme="majorHAnsi" w:hAnsiTheme="majorHAnsi"/>
        </w:rPr>
      </w:pPr>
      <w:r>
        <w:rPr>
          <w:rFonts w:asciiTheme="majorHAnsi" w:eastAsia="Arial" w:hAnsiTheme="majorHAnsi"/>
          <w:lang w:eastAsia="en-IN"/>
        </w:rPr>
        <w:t xml:space="preserve">2.2.4. </w:t>
      </w:r>
      <w:r>
        <w:rPr>
          <w:rFonts w:asciiTheme="majorHAnsi" w:hAnsiTheme="majorHAnsi"/>
        </w:rPr>
        <w:t>Interest on Working Capital</w:t>
      </w:r>
    </w:p>
    <w:p w14:paraId="59643422" w14:textId="77777777" w:rsidR="009B02BB" w:rsidRPr="00705436" w:rsidRDefault="009B02BB" w:rsidP="009B02BB">
      <w:pPr>
        <w:pStyle w:val="head2"/>
        <w:spacing w:before="0" w:after="0"/>
        <w:ind w:left="0" w:firstLine="0"/>
        <w:rPr>
          <w:rFonts w:asciiTheme="majorHAnsi" w:hAnsiTheme="majorHAnsi"/>
          <w:sz w:val="10"/>
        </w:rPr>
      </w:pPr>
    </w:p>
    <w:p w14:paraId="7430F00A" w14:textId="77777777" w:rsidR="009B02BB" w:rsidRPr="00F12881" w:rsidRDefault="009B02BB" w:rsidP="00F12881">
      <w:pPr>
        <w:pStyle w:val="Style3"/>
      </w:pPr>
      <w:r w:rsidRPr="00F12881">
        <w:t>The Hon’ble Commission in its True Up order for FY 2020-21 has approved Interest on Working Capital at Rs. 4.69 Cr. Based on the above submissions for review, the interest on working capital has been computed in line with the existing MSERC Regulations as given below:</w:t>
      </w:r>
    </w:p>
    <w:p w14:paraId="14759ADC" w14:textId="77777777" w:rsidR="009B02BB" w:rsidRPr="00A40587" w:rsidRDefault="009B02BB" w:rsidP="00F12881">
      <w:pPr>
        <w:pStyle w:val="Style3"/>
      </w:pPr>
    </w:p>
    <w:p w14:paraId="7EC29AB2" w14:textId="77777777" w:rsidR="009B02BB" w:rsidRPr="008675CA" w:rsidRDefault="009B02BB" w:rsidP="009B02BB">
      <w:pPr>
        <w:pStyle w:val="Caption"/>
        <w:keepNext/>
        <w:spacing w:after="0"/>
        <w:ind w:left="360"/>
        <w:jc w:val="center"/>
        <w:rPr>
          <w:rFonts w:asciiTheme="majorHAnsi" w:hAnsiTheme="majorHAnsi"/>
          <w:b/>
          <w:i w:val="0"/>
          <w:color w:val="auto"/>
          <w:sz w:val="22"/>
          <w:szCs w:val="22"/>
        </w:rPr>
      </w:pPr>
      <w:r w:rsidRPr="008675CA">
        <w:rPr>
          <w:rFonts w:asciiTheme="majorHAnsi" w:hAnsiTheme="majorHAnsi"/>
          <w:b/>
          <w:i w:val="0"/>
          <w:color w:val="auto"/>
          <w:sz w:val="22"/>
          <w:szCs w:val="22"/>
        </w:rPr>
        <w:t xml:space="preserve">Table </w:t>
      </w:r>
      <w:r>
        <w:rPr>
          <w:rFonts w:asciiTheme="majorHAnsi" w:hAnsiTheme="majorHAnsi"/>
          <w:b/>
          <w:i w:val="0"/>
          <w:color w:val="auto"/>
          <w:sz w:val="22"/>
          <w:szCs w:val="22"/>
        </w:rPr>
        <w:t>7</w:t>
      </w:r>
      <w:r w:rsidRPr="008675CA">
        <w:rPr>
          <w:rFonts w:asciiTheme="majorHAnsi" w:hAnsiTheme="majorHAnsi"/>
          <w:b/>
          <w:i w:val="0"/>
          <w:color w:val="auto"/>
          <w:sz w:val="22"/>
          <w:szCs w:val="22"/>
        </w:rPr>
        <w:t xml:space="preserve">: IWC Claim of </w:t>
      </w:r>
      <w:r>
        <w:rPr>
          <w:rFonts w:asciiTheme="majorHAnsi" w:hAnsiTheme="majorHAnsi"/>
          <w:b/>
          <w:i w:val="0"/>
          <w:color w:val="auto"/>
          <w:sz w:val="22"/>
          <w:szCs w:val="22"/>
        </w:rPr>
        <w:t>MLHEP</w:t>
      </w:r>
      <w:r w:rsidRPr="008675CA">
        <w:rPr>
          <w:rFonts w:asciiTheme="majorHAnsi" w:hAnsiTheme="majorHAnsi"/>
          <w:b/>
          <w:i w:val="0"/>
          <w:color w:val="auto"/>
          <w:sz w:val="22"/>
          <w:szCs w:val="22"/>
        </w:rPr>
        <w:t xml:space="preserve"> (INR Cr.)</w:t>
      </w:r>
    </w:p>
    <w:tbl>
      <w:tblPr>
        <w:tblW w:w="4776"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7"/>
        <w:gridCol w:w="6663"/>
        <w:gridCol w:w="1702"/>
      </w:tblGrid>
      <w:tr w:rsidR="009B02BB" w:rsidRPr="008675CA" w14:paraId="4839639E" w14:textId="77777777" w:rsidTr="00C03A40">
        <w:trPr>
          <w:trHeight w:val="262"/>
          <w:tblHeader/>
        </w:trPr>
        <w:tc>
          <w:tcPr>
            <w:tcW w:w="547" w:type="pct"/>
            <w:shd w:val="clear" w:color="auto" w:fill="BFBFBF" w:themeFill="background1" w:themeFillShade="BF"/>
            <w:noWrap/>
            <w:vAlign w:val="center"/>
            <w:hideMark/>
          </w:tcPr>
          <w:p w14:paraId="0AB5A863" w14:textId="77777777" w:rsidR="009B02BB" w:rsidRPr="008675CA" w:rsidRDefault="009B02BB" w:rsidP="00C03A40">
            <w:pPr>
              <w:spacing w:after="0" w:line="276" w:lineRule="auto"/>
              <w:rPr>
                <w:rFonts w:asciiTheme="majorHAnsi" w:eastAsia="Times New Roman" w:hAnsiTheme="majorHAnsi" w:cs="Calibri"/>
                <w:b/>
              </w:rPr>
            </w:pPr>
            <w:r w:rsidRPr="008675CA">
              <w:rPr>
                <w:rFonts w:asciiTheme="majorHAnsi" w:eastAsia="Times New Roman" w:hAnsiTheme="majorHAnsi" w:cs="Calibri"/>
                <w:b/>
              </w:rPr>
              <w:t>Sl. No</w:t>
            </w:r>
          </w:p>
        </w:tc>
        <w:tc>
          <w:tcPr>
            <w:tcW w:w="3547" w:type="pct"/>
            <w:shd w:val="clear" w:color="auto" w:fill="BFBFBF" w:themeFill="background1" w:themeFillShade="BF"/>
            <w:noWrap/>
            <w:hideMark/>
          </w:tcPr>
          <w:p w14:paraId="76098C0B" w14:textId="77777777" w:rsidR="009B02BB" w:rsidRPr="008675CA" w:rsidRDefault="009B02BB" w:rsidP="00C03A40">
            <w:pPr>
              <w:spacing w:after="0" w:line="276" w:lineRule="auto"/>
              <w:jc w:val="center"/>
              <w:rPr>
                <w:rFonts w:asciiTheme="majorHAnsi" w:eastAsia="Times New Roman" w:hAnsiTheme="majorHAnsi" w:cs="Calibri"/>
                <w:b/>
              </w:rPr>
            </w:pPr>
            <w:r w:rsidRPr="008675CA">
              <w:rPr>
                <w:rFonts w:asciiTheme="majorHAnsi" w:eastAsia="Times New Roman" w:hAnsiTheme="majorHAnsi" w:cs="Calibri"/>
                <w:b/>
              </w:rPr>
              <w:t>Particulars</w:t>
            </w:r>
          </w:p>
        </w:tc>
        <w:tc>
          <w:tcPr>
            <w:tcW w:w="906" w:type="pct"/>
            <w:shd w:val="clear" w:color="auto" w:fill="BFBFBF" w:themeFill="background1" w:themeFillShade="BF"/>
          </w:tcPr>
          <w:p w14:paraId="674E7708" w14:textId="77777777" w:rsidR="009B02BB" w:rsidRPr="008675CA" w:rsidRDefault="009B02BB" w:rsidP="00C03A40">
            <w:pPr>
              <w:spacing w:after="0" w:line="276" w:lineRule="auto"/>
              <w:jc w:val="center"/>
              <w:rPr>
                <w:rFonts w:asciiTheme="majorHAnsi" w:eastAsia="Times New Roman" w:hAnsiTheme="majorHAnsi" w:cs="Calibri"/>
                <w:b/>
              </w:rPr>
            </w:pPr>
            <w:r w:rsidRPr="008675CA">
              <w:rPr>
                <w:rFonts w:asciiTheme="majorHAnsi" w:eastAsia="Times New Roman" w:hAnsiTheme="majorHAnsi" w:cs="Calibri"/>
                <w:b/>
              </w:rPr>
              <w:t>FY 2020-21</w:t>
            </w:r>
          </w:p>
        </w:tc>
      </w:tr>
      <w:tr w:rsidR="009B02BB" w:rsidRPr="008675CA" w14:paraId="040EAFE7" w14:textId="77777777" w:rsidTr="00C03A40">
        <w:trPr>
          <w:trHeight w:val="262"/>
        </w:trPr>
        <w:tc>
          <w:tcPr>
            <w:tcW w:w="547" w:type="pct"/>
            <w:shd w:val="clear" w:color="auto" w:fill="auto"/>
            <w:noWrap/>
            <w:vAlign w:val="center"/>
            <w:hideMark/>
          </w:tcPr>
          <w:p w14:paraId="5CAF8BF3" w14:textId="77777777" w:rsidR="009B02BB" w:rsidRPr="008675CA" w:rsidRDefault="009B02BB" w:rsidP="00C03A40">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1</w:t>
            </w:r>
          </w:p>
        </w:tc>
        <w:tc>
          <w:tcPr>
            <w:tcW w:w="3547" w:type="pct"/>
            <w:shd w:val="clear" w:color="auto" w:fill="auto"/>
            <w:noWrap/>
            <w:vAlign w:val="bottom"/>
            <w:hideMark/>
          </w:tcPr>
          <w:p w14:paraId="5598C42A" w14:textId="77777777" w:rsidR="009B02BB" w:rsidRPr="008675CA" w:rsidRDefault="009B02BB" w:rsidP="00C03A40">
            <w:pPr>
              <w:spacing w:after="0" w:line="276" w:lineRule="auto"/>
              <w:jc w:val="both"/>
              <w:rPr>
                <w:rFonts w:asciiTheme="majorHAnsi" w:eastAsia="Times New Roman" w:hAnsiTheme="majorHAnsi" w:cs="Calibri"/>
              </w:rPr>
            </w:pPr>
            <w:r w:rsidRPr="008675CA">
              <w:rPr>
                <w:rFonts w:asciiTheme="majorHAnsi" w:eastAsia="Times New Roman" w:hAnsiTheme="majorHAnsi" w:cs="Calibri"/>
              </w:rPr>
              <w:t xml:space="preserve">O&amp;M Expenses for one (1) month (Rs. </w:t>
            </w:r>
            <w:r>
              <w:rPr>
                <w:rFonts w:asciiTheme="majorHAnsi" w:eastAsia="Times New Roman" w:hAnsiTheme="majorHAnsi" w:cs="Calibri"/>
              </w:rPr>
              <w:t>38.89</w:t>
            </w:r>
            <w:r w:rsidRPr="008675CA">
              <w:rPr>
                <w:rFonts w:asciiTheme="majorHAnsi" w:eastAsia="Times New Roman" w:hAnsiTheme="majorHAnsi" w:cs="Calibri"/>
              </w:rPr>
              <w:t xml:space="preserve"> Cr./12) (a)</w:t>
            </w:r>
          </w:p>
        </w:tc>
        <w:tc>
          <w:tcPr>
            <w:tcW w:w="906" w:type="pct"/>
          </w:tcPr>
          <w:p w14:paraId="60AA65C2" w14:textId="77777777" w:rsidR="009B02BB" w:rsidRPr="008675CA" w:rsidRDefault="009B02BB" w:rsidP="00C03A40">
            <w:pPr>
              <w:spacing w:after="0" w:line="276" w:lineRule="auto"/>
              <w:jc w:val="center"/>
              <w:rPr>
                <w:rFonts w:asciiTheme="majorHAnsi" w:eastAsia="Times New Roman" w:hAnsiTheme="majorHAnsi" w:cs="Calibri"/>
              </w:rPr>
            </w:pPr>
            <w:r>
              <w:rPr>
                <w:rFonts w:asciiTheme="majorHAnsi" w:eastAsia="Times New Roman" w:hAnsiTheme="majorHAnsi" w:cs="Calibri"/>
              </w:rPr>
              <w:t>3.24</w:t>
            </w:r>
          </w:p>
        </w:tc>
      </w:tr>
      <w:tr w:rsidR="009B02BB" w:rsidRPr="008675CA" w14:paraId="27FEF857" w14:textId="77777777" w:rsidTr="00C03A40">
        <w:trPr>
          <w:trHeight w:val="262"/>
        </w:trPr>
        <w:tc>
          <w:tcPr>
            <w:tcW w:w="547" w:type="pct"/>
            <w:shd w:val="clear" w:color="auto" w:fill="auto"/>
            <w:noWrap/>
            <w:vAlign w:val="center"/>
            <w:hideMark/>
          </w:tcPr>
          <w:p w14:paraId="427EDE06" w14:textId="77777777" w:rsidR="009B02BB" w:rsidRPr="008675CA" w:rsidRDefault="009B02BB" w:rsidP="00C03A40">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2</w:t>
            </w:r>
          </w:p>
        </w:tc>
        <w:tc>
          <w:tcPr>
            <w:tcW w:w="3547" w:type="pct"/>
            <w:shd w:val="clear" w:color="auto" w:fill="auto"/>
            <w:noWrap/>
            <w:vAlign w:val="bottom"/>
            <w:hideMark/>
          </w:tcPr>
          <w:p w14:paraId="1818735C" w14:textId="77777777" w:rsidR="009B02BB" w:rsidRPr="008675CA" w:rsidRDefault="009B02BB" w:rsidP="00C03A40">
            <w:pPr>
              <w:spacing w:after="0" w:line="276" w:lineRule="auto"/>
              <w:jc w:val="both"/>
              <w:rPr>
                <w:rFonts w:asciiTheme="majorHAnsi" w:eastAsia="Times New Roman" w:hAnsiTheme="majorHAnsi" w:cs="Calibri"/>
              </w:rPr>
            </w:pPr>
            <w:r w:rsidRPr="008675CA">
              <w:rPr>
                <w:rFonts w:asciiTheme="majorHAnsi" w:eastAsia="Times New Roman" w:hAnsiTheme="majorHAnsi" w:cs="Calibri"/>
              </w:rPr>
              <w:t>Maintenance Spares at 15% of O&amp;M expenses escalated at 6% (b)</w:t>
            </w:r>
          </w:p>
        </w:tc>
        <w:tc>
          <w:tcPr>
            <w:tcW w:w="906" w:type="pct"/>
          </w:tcPr>
          <w:p w14:paraId="7D0E4877" w14:textId="77777777" w:rsidR="009B02BB" w:rsidRPr="008675CA" w:rsidRDefault="009B02BB" w:rsidP="00C03A40">
            <w:pPr>
              <w:spacing w:after="0" w:line="276" w:lineRule="auto"/>
              <w:jc w:val="center"/>
              <w:rPr>
                <w:rFonts w:asciiTheme="majorHAnsi" w:eastAsia="Times New Roman" w:hAnsiTheme="majorHAnsi" w:cs="Calibri"/>
              </w:rPr>
            </w:pPr>
            <w:r>
              <w:rPr>
                <w:rFonts w:asciiTheme="majorHAnsi" w:eastAsia="Times New Roman" w:hAnsiTheme="majorHAnsi" w:cs="Calibri"/>
              </w:rPr>
              <w:t>6.18</w:t>
            </w:r>
          </w:p>
        </w:tc>
      </w:tr>
      <w:tr w:rsidR="009B02BB" w:rsidRPr="008675CA" w14:paraId="6D71BA3E" w14:textId="77777777" w:rsidTr="00C03A40">
        <w:trPr>
          <w:trHeight w:val="262"/>
        </w:trPr>
        <w:tc>
          <w:tcPr>
            <w:tcW w:w="547" w:type="pct"/>
            <w:shd w:val="clear" w:color="auto" w:fill="auto"/>
            <w:noWrap/>
            <w:vAlign w:val="center"/>
            <w:hideMark/>
          </w:tcPr>
          <w:p w14:paraId="7B89E5DD" w14:textId="77777777" w:rsidR="009B02BB" w:rsidRPr="008675CA" w:rsidRDefault="009B02BB" w:rsidP="00C03A40">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3</w:t>
            </w:r>
          </w:p>
        </w:tc>
        <w:tc>
          <w:tcPr>
            <w:tcW w:w="3547" w:type="pct"/>
            <w:shd w:val="clear" w:color="auto" w:fill="auto"/>
            <w:noWrap/>
            <w:vAlign w:val="bottom"/>
            <w:hideMark/>
          </w:tcPr>
          <w:p w14:paraId="74443B54" w14:textId="77777777" w:rsidR="009B02BB" w:rsidRPr="008675CA" w:rsidRDefault="009B02BB" w:rsidP="00C03A40">
            <w:pPr>
              <w:spacing w:after="0" w:line="276" w:lineRule="auto"/>
              <w:jc w:val="both"/>
              <w:rPr>
                <w:rFonts w:asciiTheme="majorHAnsi" w:eastAsia="Times New Roman" w:hAnsiTheme="majorHAnsi" w:cs="Calibri"/>
              </w:rPr>
            </w:pPr>
            <w:r w:rsidRPr="008675CA">
              <w:rPr>
                <w:rFonts w:asciiTheme="majorHAnsi" w:eastAsia="Times New Roman" w:hAnsiTheme="majorHAnsi" w:cs="Calibri"/>
              </w:rPr>
              <w:t>Receivables equivalent to two (2) months Net AFC (c)</w:t>
            </w:r>
          </w:p>
        </w:tc>
        <w:tc>
          <w:tcPr>
            <w:tcW w:w="906" w:type="pct"/>
          </w:tcPr>
          <w:p w14:paraId="78A50304" w14:textId="77777777" w:rsidR="009B02BB" w:rsidRPr="008675CA" w:rsidRDefault="009B02BB" w:rsidP="00C03A40">
            <w:pPr>
              <w:spacing w:after="0" w:line="276" w:lineRule="auto"/>
              <w:jc w:val="center"/>
              <w:rPr>
                <w:rFonts w:asciiTheme="majorHAnsi" w:eastAsia="Times New Roman" w:hAnsiTheme="majorHAnsi" w:cs="Calibri"/>
              </w:rPr>
            </w:pPr>
            <w:r>
              <w:rPr>
                <w:rFonts w:asciiTheme="majorHAnsi" w:eastAsia="Times New Roman" w:hAnsiTheme="majorHAnsi" w:cs="Calibri"/>
              </w:rPr>
              <w:t>33.79</w:t>
            </w:r>
          </w:p>
        </w:tc>
      </w:tr>
      <w:tr w:rsidR="009B02BB" w:rsidRPr="008675CA" w14:paraId="23378955" w14:textId="77777777" w:rsidTr="00C03A40">
        <w:trPr>
          <w:trHeight w:val="262"/>
        </w:trPr>
        <w:tc>
          <w:tcPr>
            <w:tcW w:w="547" w:type="pct"/>
            <w:shd w:val="clear" w:color="auto" w:fill="auto"/>
            <w:noWrap/>
            <w:vAlign w:val="center"/>
            <w:hideMark/>
          </w:tcPr>
          <w:p w14:paraId="3F02DE3A" w14:textId="77777777" w:rsidR="009B02BB" w:rsidRPr="008675CA" w:rsidRDefault="009B02BB" w:rsidP="00C03A40">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4</w:t>
            </w:r>
          </w:p>
        </w:tc>
        <w:tc>
          <w:tcPr>
            <w:tcW w:w="3547" w:type="pct"/>
            <w:shd w:val="clear" w:color="auto" w:fill="auto"/>
            <w:noWrap/>
            <w:vAlign w:val="bottom"/>
            <w:hideMark/>
          </w:tcPr>
          <w:p w14:paraId="6C141ABA" w14:textId="77777777" w:rsidR="009B02BB" w:rsidRPr="008675CA" w:rsidRDefault="009B02BB" w:rsidP="00C03A40">
            <w:pPr>
              <w:spacing w:after="0" w:line="276" w:lineRule="auto"/>
              <w:jc w:val="both"/>
              <w:rPr>
                <w:rFonts w:asciiTheme="majorHAnsi" w:eastAsia="Times New Roman" w:hAnsiTheme="majorHAnsi" w:cs="Calibri"/>
              </w:rPr>
            </w:pPr>
            <w:r w:rsidRPr="008675CA">
              <w:rPr>
                <w:rFonts w:asciiTheme="majorHAnsi" w:eastAsia="Times New Roman" w:hAnsiTheme="majorHAnsi" w:cs="Calibri"/>
              </w:rPr>
              <w:t>Working Capital requirement (d=a+b+c)</w:t>
            </w:r>
          </w:p>
        </w:tc>
        <w:tc>
          <w:tcPr>
            <w:tcW w:w="906" w:type="pct"/>
          </w:tcPr>
          <w:p w14:paraId="5A525298" w14:textId="77777777" w:rsidR="009B02BB" w:rsidRPr="008675CA" w:rsidRDefault="009B02BB" w:rsidP="00C03A40">
            <w:pPr>
              <w:spacing w:after="0" w:line="276" w:lineRule="auto"/>
              <w:jc w:val="center"/>
              <w:rPr>
                <w:rFonts w:asciiTheme="majorHAnsi" w:eastAsia="Times New Roman" w:hAnsiTheme="majorHAnsi" w:cs="Calibri"/>
              </w:rPr>
            </w:pPr>
            <w:r>
              <w:rPr>
                <w:rFonts w:asciiTheme="majorHAnsi" w:eastAsia="Times New Roman" w:hAnsiTheme="majorHAnsi" w:cs="Calibri"/>
              </w:rPr>
              <w:t>43.21</w:t>
            </w:r>
          </w:p>
        </w:tc>
      </w:tr>
      <w:tr w:rsidR="009B02BB" w:rsidRPr="008675CA" w14:paraId="73D9A004" w14:textId="77777777" w:rsidTr="00C03A40">
        <w:trPr>
          <w:trHeight w:val="262"/>
        </w:trPr>
        <w:tc>
          <w:tcPr>
            <w:tcW w:w="547" w:type="pct"/>
            <w:shd w:val="clear" w:color="auto" w:fill="auto"/>
            <w:noWrap/>
            <w:vAlign w:val="center"/>
            <w:hideMark/>
          </w:tcPr>
          <w:p w14:paraId="249C3BE0" w14:textId="77777777" w:rsidR="009B02BB" w:rsidRPr="008675CA" w:rsidRDefault="009B02BB" w:rsidP="00C03A40">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5</w:t>
            </w:r>
          </w:p>
        </w:tc>
        <w:tc>
          <w:tcPr>
            <w:tcW w:w="3547" w:type="pct"/>
            <w:shd w:val="clear" w:color="auto" w:fill="auto"/>
            <w:noWrap/>
            <w:vAlign w:val="bottom"/>
            <w:hideMark/>
          </w:tcPr>
          <w:p w14:paraId="18B1CA7B" w14:textId="77777777" w:rsidR="009B02BB" w:rsidRPr="008675CA" w:rsidRDefault="009B02BB" w:rsidP="00C03A40">
            <w:pPr>
              <w:spacing w:after="0" w:line="276" w:lineRule="auto"/>
              <w:jc w:val="both"/>
              <w:rPr>
                <w:rFonts w:asciiTheme="majorHAnsi" w:eastAsia="Times New Roman" w:hAnsiTheme="majorHAnsi" w:cs="Calibri"/>
              </w:rPr>
            </w:pPr>
            <w:r w:rsidRPr="008675CA">
              <w:rPr>
                <w:rFonts w:asciiTheme="majorHAnsi" w:eastAsia="Times New Roman" w:hAnsiTheme="majorHAnsi" w:cs="Calibri"/>
              </w:rPr>
              <w:t>Interest at 12.90% (e=d*12.90%)</w:t>
            </w:r>
          </w:p>
        </w:tc>
        <w:tc>
          <w:tcPr>
            <w:tcW w:w="906" w:type="pct"/>
          </w:tcPr>
          <w:p w14:paraId="77B19CCF" w14:textId="77777777" w:rsidR="009B02BB" w:rsidRPr="008675CA" w:rsidRDefault="009B02BB" w:rsidP="00C03A40">
            <w:pPr>
              <w:spacing w:after="0" w:line="276" w:lineRule="auto"/>
              <w:jc w:val="center"/>
              <w:rPr>
                <w:rFonts w:asciiTheme="majorHAnsi" w:eastAsia="Times New Roman" w:hAnsiTheme="majorHAnsi" w:cs="Calibri"/>
                <w:b/>
              </w:rPr>
            </w:pPr>
            <w:r>
              <w:rPr>
                <w:rFonts w:asciiTheme="majorHAnsi" w:eastAsia="Times New Roman" w:hAnsiTheme="majorHAnsi" w:cs="Calibri"/>
                <w:b/>
              </w:rPr>
              <w:t>5.57</w:t>
            </w:r>
          </w:p>
        </w:tc>
      </w:tr>
      <w:tr w:rsidR="009B02BB" w:rsidRPr="008675CA" w14:paraId="43A10138" w14:textId="77777777" w:rsidTr="00C03A40">
        <w:trPr>
          <w:trHeight w:val="262"/>
        </w:trPr>
        <w:tc>
          <w:tcPr>
            <w:tcW w:w="547" w:type="pct"/>
            <w:shd w:val="clear" w:color="auto" w:fill="auto"/>
            <w:noWrap/>
            <w:vAlign w:val="center"/>
          </w:tcPr>
          <w:p w14:paraId="7EDCAC2A" w14:textId="77777777" w:rsidR="009B02BB" w:rsidRPr="008675CA" w:rsidRDefault="009B02BB" w:rsidP="00C03A40">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6</w:t>
            </w:r>
          </w:p>
        </w:tc>
        <w:tc>
          <w:tcPr>
            <w:tcW w:w="3547" w:type="pct"/>
            <w:shd w:val="clear" w:color="auto" w:fill="auto"/>
            <w:noWrap/>
            <w:vAlign w:val="bottom"/>
          </w:tcPr>
          <w:p w14:paraId="72C5CB0E" w14:textId="77777777" w:rsidR="009B02BB" w:rsidRPr="008675CA" w:rsidRDefault="009B02BB" w:rsidP="00C03A40">
            <w:pPr>
              <w:spacing w:after="0" w:line="276" w:lineRule="auto"/>
              <w:jc w:val="both"/>
              <w:rPr>
                <w:rFonts w:asciiTheme="majorHAnsi" w:eastAsia="Times New Roman" w:hAnsiTheme="majorHAnsi" w:cs="Calibri"/>
              </w:rPr>
            </w:pPr>
            <w:r w:rsidRPr="008675CA">
              <w:rPr>
                <w:rFonts w:asciiTheme="majorHAnsi" w:eastAsia="Times New Roman" w:hAnsiTheme="majorHAnsi" w:cs="Calibri"/>
              </w:rPr>
              <w:t>Approved IWC as per True up Order</w:t>
            </w:r>
          </w:p>
        </w:tc>
        <w:tc>
          <w:tcPr>
            <w:tcW w:w="906" w:type="pct"/>
          </w:tcPr>
          <w:p w14:paraId="290BC568" w14:textId="77777777" w:rsidR="009B02BB" w:rsidRPr="008675CA" w:rsidRDefault="009B02BB" w:rsidP="00C03A40">
            <w:pPr>
              <w:spacing w:after="0" w:line="276" w:lineRule="auto"/>
              <w:jc w:val="center"/>
              <w:rPr>
                <w:rFonts w:asciiTheme="majorHAnsi" w:eastAsia="Times New Roman" w:hAnsiTheme="majorHAnsi" w:cs="Calibri"/>
              </w:rPr>
            </w:pPr>
            <w:r>
              <w:rPr>
                <w:rFonts w:asciiTheme="majorHAnsi" w:eastAsia="Times New Roman" w:hAnsiTheme="majorHAnsi" w:cs="Calibri"/>
              </w:rPr>
              <w:t>4.69</w:t>
            </w:r>
          </w:p>
        </w:tc>
      </w:tr>
      <w:tr w:rsidR="009B02BB" w:rsidRPr="008675CA" w14:paraId="1E6C8476" w14:textId="77777777" w:rsidTr="00C03A40">
        <w:trPr>
          <w:trHeight w:val="262"/>
        </w:trPr>
        <w:tc>
          <w:tcPr>
            <w:tcW w:w="547" w:type="pct"/>
            <w:shd w:val="clear" w:color="auto" w:fill="auto"/>
            <w:noWrap/>
            <w:vAlign w:val="center"/>
          </w:tcPr>
          <w:p w14:paraId="12B8A467" w14:textId="77777777" w:rsidR="009B02BB" w:rsidRPr="008675CA" w:rsidRDefault="009B02BB" w:rsidP="00C03A40">
            <w:pPr>
              <w:spacing w:after="0" w:line="276" w:lineRule="auto"/>
              <w:jc w:val="center"/>
              <w:rPr>
                <w:rFonts w:asciiTheme="majorHAnsi" w:eastAsia="Times New Roman" w:hAnsiTheme="majorHAnsi" w:cs="Calibri"/>
                <w:b/>
              </w:rPr>
            </w:pPr>
            <w:r w:rsidRPr="008675CA">
              <w:rPr>
                <w:rFonts w:asciiTheme="majorHAnsi" w:eastAsia="Times New Roman" w:hAnsiTheme="majorHAnsi" w:cs="Calibri"/>
                <w:b/>
              </w:rPr>
              <w:t>7</w:t>
            </w:r>
          </w:p>
        </w:tc>
        <w:tc>
          <w:tcPr>
            <w:tcW w:w="3547" w:type="pct"/>
            <w:shd w:val="clear" w:color="auto" w:fill="auto"/>
            <w:noWrap/>
            <w:vAlign w:val="bottom"/>
          </w:tcPr>
          <w:p w14:paraId="5087BBD7" w14:textId="77777777" w:rsidR="009B02BB" w:rsidRPr="008675CA" w:rsidRDefault="009B02BB" w:rsidP="00C03A40">
            <w:pPr>
              <w:spacing w:after="0" w:line="276" w:lineRule="auto"/>
              <w:jc w:val="both"/>
              <w:rPr>
                <w:rFonts w:asciiTheme="majorHAnsi" w:eastAsia="Times New Roman" w:hAnsiTheme="majorHAnsi" w:cs="Calibri"/>
                <w:b/>
                <w:lang w:val="en-IN"/>
              </w:rPr>
            </w:pPr>
            <w:r w:rsidRPr="008675CA">
              <w:rPr>
                <w:rFonts w:asciiTheme="majorHAnsi" w:eastAsia="Times New Roman" w:hAnsiTheme="majorHAnsi" w:cs="Calibri"/>
                <w:b/>
                <w:lang w:val="en-IN"/>
              </w:rPr>
              <w:t>Additional IWC as per review of True up order</w:t>
            </w:r>
          </w:p>
        </w:tc>
        <w:tc>
          <w:tcPr>
            <w:tcW w:w="906" w:type="pct"/>
          </w:tcPr>
          <w:p w14:paraId="023DF855" w14:textId="77777777" w:rsidR="009B02BB" w:rsidRPr="008675CA" w:rsidRDefault="009B02BB" w:rsidP="00C03A40">
            <w:pPr>
              <w:spacing w:after="0" w:line="276" w:lineRule="auto"/>
              <w:jc w:val="center"/>
              <w:rPr>
                <w:rFonts w:asciiTheme="majorHAnsi" w:eastAsia="Times New Roman" w:hAnsiTheme="majorHAnsi" w:cs="Calibri"/>
                <w:b/>
              </w:rPr>
            </w:pPr>
            <w:r w:rsidRPr="008675CA">
              <w:rPr>
                <w:rFonts w:asciiTheme="majorHAnsi" w:eastAsia="Times New Roman" w:hAnsiTheme="majorHAnsi" w:cs="Calibri"/>
                <w:b/>
              </w:rPr>
              <w:t>0.</w:t>
            </w:r>
            <w:r>
              <w:rPr>
                <w:rFonts w:asciiTheme="majorHAnsi" w:eastAsia="Times New Roman" w:hAnsiTheme="majorHAnsi" w:cs="Calibri"/>
                <w:b/>
              </w:rPr>
              <w:t>88</w:t>
            </w:r>
          </w:p>
        </w:tc>
      </w:tr>
    </w:tbl>
    <w:p w14:paraId="764E6002" w14:textId="77777777" w:rsidR="009B02BB" w:rsidRDefault="009B02BB" w:rsidP="009B02BB">
      <w:pPr>
        <w:jc w:val="both"/>
        <w:rPr>
          <w:rFonts w:asciiTheme="majorHAnsi" w:hAnsiTheme="majorHAnsi"/>
        </w:rPr>
      </w:pPr>
      <w:r w:rsidRPr="003D2B85">
        <w:rPr>
          <w:rFonts w:asciiTheme="majorHAnsi" w:hAnsiTheme="majorHAnsi"/>
        </w:rPr>
        <w:t>MePGCL claim additional gap of IWC fo</w:t>
      </w:r>
      <w:r>
        <w:rPr>
          <w:rFonts w:asciiTheme="majorHAnsi" w:hAnsiTheme="majorHAnsi"/>
        </w:rPr>
        <w:t>r MLHEP for FY 2020-21 as Rs.0.88</w:t>
      </w:r>
      <w:r w:rsidRPr="003D2B85">
        <w:rPr>
          <w:rFonts w:asciiTheme="majorHAnsi" w:hAnsiTheme="majorHAnsi"/>
        </w:rPr>
        <w:t xml:space="preserve"> Cr and request the Hon’ble Commission to consider the additional gap as shown above.</w:t>
      </w:r>
    </w:p>
    <w:p w14:paraId="4A952948" w14:textId="117E1142" w:rsidR="00DA77FC" w:rsidRPr="008675CA" w:rsidRDefault="0037292C" w:rsidP="00F12881">
      <w:pPr>
        <w:pStyle w:val="Style3"/>
      </w:pPr>
      <w:r>
        <w:t>2</w:t>
      </w:r>
      <w:r w:rsidR="00B35CD8" w:rsidRPr="008675CA">
        <w:t>.2.</w:t>
      </w:r>
      <w:r>
        <w:t>5</w:t>
      </w:r>
      <w:r w:rsidR="00DA77FC" w:rsidRPr="00034D70">
        <w:t xml:space="preserve">. Revised ARR &amp; Net Additional Claim in Review for True Up </w:t>
      </w:r>
      <w:r w:rsidR="00606E07" w:rsidRPr="00034D70">
        <w:t xml:space="preserve">for </w:t>
      </w:r>
      <w:r w:rsidR="00DA77FC" w:rsidRPr="00034D70">
        <w:t xml:space="preserve">FY </w:t>
      </w:r>
      <w:r w:rsidR="00B35CD8" w:rsidRPr="00034D70">
        <w:t>2020-21</w:t>
      </w:r>
    </w:p>
    <w:p w14:paraId="575D9E46" w14:textId="77777777" w:rsidR="007D3E77" w:rsidRPr="00034D70" w:rsidRDefault="007D3E77" w:rsidP="00F12881">
      <w:pPr>
        <w:pStyle w:val="Style3"/>
      </w:pPr>
    </w:p>
    <w:p w14:paraId="3D8DCB95" w14:textId="77777777" w:rsidR="00DA77FC" w:rsidRDefault="00DA77FC" w:rsidP="007D3E77">
      <w:pPr>
        <w:spacing w:after="0"/>
        <w:jc w:val="both"/>
        <w:rPr>
          <w:rFonts w:asciiTheme="majorHAnsi" w:hAnsiTheme="majorHAnsi"/>
        </w:rPr>
      </w:pPr>
      <w:r w:rsidRPr="008675CA">
        <w:rPr>
          <w:rFonts w:asciiTheme="majorHAnsi" w:hAnsiTheme="majorHAnsi"/>
        </w:rPr>
        <w:t>Based on the above submissions in response to the order, revised ARR for MLHEP is given below:</w:t>
      </w:r>
    </w:p>
    <w:p w14:paraId="030A3EFA" w14:textId="77777777" w:rsidR="003628E8" w:rsidRPr="008675CA" w:rsidRDefault="003628E8" w:rsidP="007D3E77">
      <w:pPr>
        <w:spacing w:after="0"/>
        <w:jc w:val="both"/>
        <w:rPr>
          <w:rFonts w:asciiTheme="majorHAnsi" w:hAnsiTheme="majorHAnsi"/>
        </w:rPr>
      </w:pPr>
    </w:p>
    <w:p w14:paraId="03C7D90A" w14:textId="48B2F9EB" w:rsidR="00DA77FC" w:rsidRPr="008675CA" w:rsidRDefault="00DA77FC" w:rsidP="00DA77FC">
      <w:pPr>
        <w:pStyle w:val="Caption"/>
        <w:keepNext/>
        <w:spacing w:after="0"/>
        <w:ind w:left="360"/>
        <w:jc w:val="center"/>
        <w:rPr>
          <w:rFonts w:asciiTheme="majorHAnsi" w:hAnsiTheme="majorHAnsi"/>
          <w:b/>
          <w:i w:val="0"/>
          <w:color w:val="auto"/>
          <w:sz w:val="22"/>
          <w:szCs w:val="22"/>
        </w:rPr>
      </w:pPr>
      <w:r w:rsidRPr="008675CA">
        <w:rPr>
          <w:rFonts w:asciiTheme="majorHAnsi" w:hAnsiTheme="majorHAnsi"/>
          <w:b/>
          <w:i w:val="0"/>
          <w:color w:val="auto"/>
          <w:sz w:val="22"/>
          <w:szCs w:val="22"/>
        </w:rPr>
        <w:t>Table</w:t>
      </w:r>
      <w:r w:rsidR="00EC3BC5" w:rsidRPr="008675CA">
        <w:rPr>
          <w:rFonts w:asciiTheme="majorHAnsi" w:hAnsiTheme="majorHAnsi"/>
          <w:b/>
          <w:i w:val="0"/>
          <w:color w:val="auto"/>
          <w:sz w:val="22"/>
          <w:szCs w:val="22"/>
        </w:rPr>
        <w:t xml:space="preserve"> </w:t>
      </w:r>
      <w:r w:rsidR="0037292C">
        <w:rPr>
          <w:rFonts w:asciiTheme="majorHAnsi" w:hAnsiTheme="majorHAnsi"/>
          <w:b/>
          <w:i w:val="0"/>
          <w:color w:val="auto"/>
          <w:sz w:val="22"/>
          <w:szCs w:val="22"/>
        </w:rPr>
        <w:t>8</w:t>
      </w:r>
      <w:r w:rsidRPr="008675CA">
        <w:rPr>
          <w:rFonts w:asciiTheme="majorHAnsi" w:hAnsiTheme="majorHAnsi"/>
          <w:b/>
          <w:i w:val="0"/>
          <w:color w:val="auto"/>
          <w:sz w:val="22"/>
          <w:szCs w:val="22"/>
        </w:rPr>
        <w:t>: Revised AFC</w:t>
      </w:r>
      <w:r w:rsidR="00331DB4" w:rsidRPr="008675CA">
        <w:rPr>
          <w:rFonts w:asciiTheme="majorHAnsi" w:hAnsiTheme="majorHAnsi"/>
          <w:b/>
          <w:i w:val="0"/>
          <w:color w:val="auto"/>
          <w:sz w:val="22"/>
          <w:szCs w:val="22"/>
        </w:rPr>
        <w:t xml:space="preserve"> for MLHEP in Review (</w:t>
      </w:r>
      <w:r w:rsidRPr="008675CA">
        <w:rPr>
          <w:rFonts w:asciiTheme="majorHAnsi" w:hAnsiTheme="majorHAnsi"/>
          <w:b/>
          <w:i w:val="0"/>
          <w:color w:val="auto"/>
          <w:sz w:val="22"/>
          <w:szCs w:val="22"/>
        </w:rPr>
        <w:t>R</w:t>
      </w:r>
      <w:r w:rsidR="00331DB4" w:rsidRPr="008675CA">
        <w:rPr>
          <w:rFonts w:asciiTheme="majorHAnsi" w:hAnsiTheme="majorHAnsi"/>
          <w:b/>
          <w:i w:val="0"/>
          <w:color w:val="auto"/>
          <w:sz w:val="22"/>
          <w:szCs w:val="22"/>
        </w:rPr>
        <w:t>s.</w:t>
      </w:r>
      <w:r w:rsidRPr="008675CA">
        <w:rPr>
          <w:rFonts w:asciiTheme="majorHAnsi" w:hAnsiTheme="majorHAnsi"/>
          <w:b/>
          <w:i w:val="0"/>
          <w:color w:val="auto"/>
          <w:sz w:val="22"/>
          <w:szCs w:val="22"/>
        </w:rPr>
        <w:t xml:space="preserve"> Cr.)</w:t>
      </w:r>
      <w:r w:rsidR="00331DB4" w:rsidRPr="008675CA">
        <w:rPr>
          <w:rFonts w:asciiTheme="majorHAnsi" w:hAnsiTheme="majorHAnsi"/>
          <w:b/>
          <w:i w:val="0"/>
          <w:color w:val="auto"/>
          <w:sz w:val="22"/>
          <w:szCs w:val="22"/>
        </w:rPr>
        <w:t xml:space="preserve"> for FY 2020-21</w:t>
      </w:r>
    </w:p>
    <w:tbl>
      <w:tblPr>
        <w:tblW w:w="51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3"/>
        <w:gridCol w:w="1864"/>
        <w:gridCol w:w="2450"/>
        <w:gridCol w:w="1890"/>
      </w:tblGrid>
      <w:tr w:rsidR="00606E07" w:rsidRPr="008675CA" w14:paraId="7DCCB139" w14:textId="77777777" w:rsidTr="00CC17B4">
        <w:trPr>
          <w:trHeight w:val="277"/>
          <w:tblHeader/>
        </w:trPr>
        <w:tc>
          <w:tcPr>
            <w:tcW w:w="1928" w:type="pct"/>
            <w:shd w:val="clear" w:color="auto" w:fill="BFBFBF" w:themeFill="background1" w:themeFillShade="BF"/>
            <w:noWrap/>
            <w:vAlign w:val="center"/>
            <w:hideMark/>
          </w:tcPr>
          <w:p w14:paraId="24DE1A2B" w14:textId="77777777" w:rsidR="00606E07" w:rsidRPr="008675CA" w:rsidRDefault="00606E07" w:rsidP="00CC17B4">
            <w:pPr>
              <w:spacing w:after="0" w:line="240" w:lineRule="auto"/>
              <w:ind w:left="-15"/>
              <w:rPr>
                <w:rFonts w:asciiTheme="majorHAnsi" w:eastAsia="Times New Roman" w:hAnsiTheme="majorHAnsi" w:cs="Times New Roman"/>
                <w:b/>
              </w:rPr>
            </w:pPr>
            <w:r w:rsidRPr="008675CA">
              <w:rPr>
                <w:rFonts w:asciiTheme="majorHAnsi" w:hAnsiTheme="majorHAnsi"/>
                <w:b/>
              </w:rPr>
              <w:t>Particulars</w:t>
            </w:r>
          </w:p>
        </w:tc>
        <w:tc>
          <w:tcPr>
            <w:tcW w:w="923" w:type="pct"/>
            <w:shd w:val="clear" w:color="auto" w:fill="BFBFBF" w:themeFill="background1" w:themeFillShade="BF"/>
            <w:vAlign w:val="center"/>
          </w:tcPr>
          <w:p w14:paraId="779EACAC" w14:textId="77777777" w:rsidR="00606E07" w:rsidRPr="008675CA" w:rsidRDefault="00606E07" w:rsidP="00CC17B4">
            <w:pPr>
              <w:spacing w:after="0" w:line="240" w:lineRule="auto"/>
              <w:ind w:left="-29"/>
              <w:jc w:val="center"/>
              <w:rPr>
                <w:rFonts w:asciiTheme="majorHAnsi" w:eastAsia="Times New Roman" w:hAnsiTheme="majorHAnsi" w:cs="Calibri"/>
                <w:b/>
              </w:rPr>
            </w:pPr>
            <w:r w:rsidRPr="008675CA">
              <w:rPr>
                <w:rFonts w:asciiTheme="majorHAnsi" w:eastAsia="Times New Roman" w:hAnsiTheme="majorHAnsi" w:cs="Calibri"/>
                <w:b/>
              </w:rPr>
              <w:t>AFC as per review</w:t>
            </w:r>
          </w:p>
        </w:tc>
        <w:tc>
          <w:tcPr>
            <w:tcW w:w="1213" w:type="pct"/>
            <w:shd w:val="clear" w:color="auto" w:fill="BFBFBF" w:themeFill="background1" w:themeFillShade="BF"/>
            <w:vAlign w:val="center"/>
          </w:tcPr>
          <w:p w14:paraId="1D534683" w14:textId="77777777" w:rsidR="00606E07" w:rsidRPr="008675CA" w:rsidRDefault="00606E07" w:rsidP="00CC17B4">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Approved in the True up Order</w:t>
            </w:r>
          </w:p>
        </w:tc>
        <w:tc>
          <w:tcPr>
            <w:tcW w:w="936" w:type="pct"/>
            <w:shd w:val="clear" w:color="auto" w:fill="BFBFBF" w:themeFill="background1" w:themeFillShade="BF"/>
            <w:vAlign w:val="center"/>
          </w:tcPr>
          <w:p w14:paraId="1EC4C52A" w14:textId="77777777" w:rsidR="00606E07" w:rsidRPr="008675CA" w:rsidRDefault="00606E07" w:rsidP="00CC17B4">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Gap/(Surplus)</w:t>
            </w:r>
          </w:p>
        </w:tc>
      </w:tr>
      <w:tr w:rsidR="00606E07" w:rsidRPr="008675CA" w14:paraId="68EE396E" w14:textId="77777777" w:rsidTr="00CC17B4">
        <w:trPr>
          <w:trHeight w:val="277"/>
        </w:trPr>
        <w:tc>
          <w:tcPr>
            <w:tcW w:w="1928" w:type="pct"/>
            <w:shd w:val="clear" w:color="auto" w:fill="auto"/>
            <w:vAlign w:val="center"/>
            <w:hideMark/>
          </w:tcPr>
          <w:p w14:paraId="30B7D729" w14:textId="77777777" w:rsidR="00606E07" w:rsidRPr="008675CA" w:rsidRDefault="00B35CD8" w:rsidP="00CC17B4">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Depreciation</w:t>
            </w:r>
          </w:p>
        </w:tc>
        <w:tc>
          <w:tcPr>
            <w:tcW w:w="923" w:type="pct"/>
          </w:tcPr>
          <w:p w14:paraId="17C618B0" w14:textId="77777777" w:rsidR="00606E07" w:rsidRPr="008675CA" w:rsidRDefault="00B35CD8" w:rsidP="00CC17B4">
            <w:pPr>
              <w:spacing w:after="0" w:line="240" w:lineRule="auto"/>
              <w:jc w:val="center"/>
              <w:rPr>
                <w:rFonts w:asciiTheme="majorHAnsi" w:hAnsiTheme="majorHAnsi" w:cs="Calibri"/>
                <w:b/>
              </w:rPr>
            </w:pPr>
            <w:r w:rsidRPr="008675CA">
              <w:rPr>
                <w:rFonts w:asciiTheme="majorHAnsi" w:hAnsiTheme="majorHAnsi" w:cs="Calibri"/>
                <w:b/>
              </w:rPr>
              <w:t>61.41</w:t>
            </w:r>
          </w:p>
        </w:tc>
        <w:tc>
          <w:tcPr>
            <w:tcW w:w="1213" w:type="pct"/>
          </w:tcPr>
          <w:p w14:paraId="25ADD4C8" w14:textId="77777777" w:rsidR="00606E07" w:rsidRPr="008675CA" w:rsidRDefault="009B3A1F" w:rsidP="00CC17B4">
            <w:pPr>
              <w:spacing w:after="0" w:line="240" w:lineRule="auto"/>
              <w:jc w:val="center"/>
              <w:rPr>
                <w:rFonts w:asciiTheme="majorHAnsi" w:hAnsiTheme="majorHAnsi" w:cs="Calibri"/>
              </w:rPr>
            </w:pPr>
            <w:r w:rsidRPr="008675CA">
              <w:rPr>
                <w:rFonts w:asciiTheme="majorHAnsi" w:hAnsiTheme="majorHAnsi" w:cs="Calibri"/>
              </w:rPr>
              <w:t>46.25</w:t>
            </w:r>
          </w:p>
        </w:tc>
        <w:tc>
          <w:tcPr>
            <w:tcW w:w="936" w:type="pct"/>
          </w:tcPr>
          <w:p w14:paraId="18C8C304" w14:textId="77777777" w:rsidR="00606E07" w:rsidRPr="008675CA" w:rsidRDefault="00331DB4" w:rsidP="00CC17B4">
            <w:pPr>
              <w:spacing w:after="0" w:line="240" w:lineRule="auto"/>
              <w:jc w:val="center"/>
              <w:rPr>
                <w:rFonts w:asciiTheme="majorHAnsi" w:hAnsiTheme="majorHAnsi" w:cs="Calibri"/>
              </w:rPr>
            </w:pPr>
            <w:r w:rsidRPr="008675CA">
              <w:rPr>
                <w:rFonts w:asciiTheme="majorHAnsi" w:hAnsiTheme="majorHAnsi" w:cs="Calibri"/>
              </w:rPr>
              <w:t>15.16</w:t>
            </w:r>
          </w:p>
        </w:tc>
      </w:tr>
      <w:tr w:rsidR="00606E07" w:rsidRPr="008675CA" w14:paraId="689F027D" w14:textId="77777777" w:rsidTr="00CC17B4">
        <w:trPr>
          <w:trHeight w:val="277"/>
        </w:trPr>
        <w:tc>
          <w:tcPr>
            <w:tcW w:w="1928" w:type="pct"/>
            <w:shd w:val="clear" w:color="auto" w:fill="auto"/>
            <w:vAlign w:val="center"/>
            <w:hideMark/>
          </w:tcPr>
          <w:p w14:paraId="161E2E05" w14:textId="77777777" w:rsidR="00606E07" w:rsidRPr="008675CA" w:rsidRDefault="00B35CD8" w:rsidP="00CC17B4">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lastRenderedPageBreak/>
              <w:t>Return on Equity</w:t>
            </w:r>
          </w:p>
        </w:tc>
        <w:tc>
          <w:tcPr>
            <w:tcW w:w="923" w:type="pct"/>
          </w:tcPr>
          <w:p w14:paraId="1ED82F5D" w14:textId="77777777" w:rsidR="00606E07" w:rsidRPr="008675CA" w:rsidRDefault="00B35CD8" w:rsidP="00CC17B4">
            <w:pPr>
              <w:spacing w:after="0" w:line="240" w:lineRule="auto"/>
              <w:jc w:val="center"/>
              <w:rPr>
                <w:rFonts w:asciiTheme="majorHAnsi" w:hAnsiTheme="majorHAnsi" w:cs="Calibri"/>
                <w:b/>
              </w:rPr>
            </w:pPr>
            <w:r w:rsidRPr="008675CA">
              <w:rPr>
                <w:rFonts w:asciiTheme="majorHAnsi" w:hAnsiTheme="majorHAnsi" w:cs="Calibri"/>
                <w:b/>
              </w:rPr>
              <w:t>54.00</w:t>
            </w:r>
          </w:p>
        </w:tc>
        <w:tc>
          <w:tcPr>
            <w:tcW w:w="1213" w:type="pct"/>
          </w:tcPr>
          <w:p w14:paraId="669DC971" w14:textId="77777777" w:rsidR="00606E07" w:rsidRPr="008675CA" w:rsidRDefault="009B3A1F" w:rsidP="00CC17B4">
            <w:pPr>
              <w:spacing w:after="0" w:line="240" w:lineRule="auto"/>
              <w:jc w:val="center"/>
              <w:rPr>
                <w:rFonts w:asciiTheme="majorHAnsi" w:hAnsiTheme="majorHAnsi" w:cs="Calibri"/>
              </w:rPr>
            </w:pPr>
            <w:r w:rsidRPr="008675CA">
              <w:rPr>
                <w:rFonts w:asciiTheme="majorHAnsi" w:hAnsiTheme="majorHAnsi" w:cs="Calibri"/>
              </w:rPr>
              <w:t>45.55</w:t>
            </w:r>
          </w:p>
        </w:tc>
        <w:tc>
          <w:tcPr>
            <w:tcW w:w="936" w:type="pct"/>
          </w:tcPr>
          <w:p w14:paraId="4E45D8E7" w14:textId="77777777" w:rsidR="00606E07" w:rsidRPr="008675CA" w:rsidRDefault="00331DB4" w:rsidP="00CC17B4">
            <w:pPr>
              <w:spacing w:after="0" w:line="240" w:lineRule="auto"/>
              <w:jc w:val="center"/>
              <w:rPr>
                <w:rFonts w:asciiTheme="majorHAnsi" w:hAnsiTheme="majorHAnsi" w:cs="Calibri"/>
              </w:rPr>
            </w:pPr>
            <w:r w:rsidRPr="008675CA">
              <w:rPr>
                <w:rFonts w:asciiTheme="majorHAnsi" w:hAnsiTheme="majorHAnsi" w:cs="Calibri"/>
              </w:rPr>
              <w:t>8.45</w:t>
            </w:r>
          </w:p>
        </w:tc>
      </w:tr>
      <w:tr w:rsidR="00606E07" w:rsidRPr="008675CA" w14:paraId="5C4BBA4A" w14:textId="77777777" w:rsidTr="00CC17B4">
        <w:trPr>
          <w:trHeight w:val="277"/>
        </w:trPr>
        <w:tc>
          <w:tcPr>
            <w:tcW w:w="1928" w:type="pct"/>
            <w:shd w:val="clear" w:color="auto" w:fill="auto"/>
            <w:vAlign w:val="center"/>
            <w:hideMark/>
          </w:tcPr>
          <w:p w14:paraId="372F56D1" w14:textId="77777777" w:rsidR="00606E07" w:rsidRPr="008675CA" w:rsidRDefault="00606E07" w:rsidP="00CC17B4">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Interest &amp; Finance charges</w:t>
            </w:r>
          </w:p>
        </w:tc>
        <w:tc>
          <w:tcPr>
            <w:tcW w:w="923" w:type="pct"/>
          </w:tcPr>
          <w:p w14:paraId="2E226EDD" w14:textId="77777777" w:rsidR="00606E07" w:rsidRPr="008675CA" w:rsidRDefault="00B35CD8" w:rsidP="00CC17B4">
            <w:pPr>
              <w:spacing w:after="0" w:line="240" w:lineRule="auto"/>
              <w:jc w:val="center"/>
              <w:rPr>
                <w:rFonts w:asciiTheme="majorHAnsi" w:hAnsiTheme="majorHAnsi" w:cs="Calibri"/>
                <w:b/>
              </w:rPr>
            </w:pPr>
            <w:r w:rsidRPr="008675CA">
              <w:rPr>
                <w:rFonts w:asciiTheme="majorHAnsi" w:hAnsiTheme="majorHAnsi" w:cs="Calibri"/>
                <w:b/>
              </w:rPr>
              <w:t>42.87</w:t>
            </w:r>
          </w:p>
        </w:tc>
        <w:tc>
          <w:tcPr>
            <w:tcW w:w="1213" w:type="pct"/>
          </w:tcPr>
          <w:p w14:paraId="7A03CD14" w14:textId="77777777" w:rsidR="00606E07" w:rsidRPr="008675CA" w:rsidRDefault="009B3A1F" w:rsidP="00CC17B4">
            <w:pPr>
              <w:spacing w:after="0" w:line="240" w:lineRule="auto"/>
              <w:jc w:val="center"/>
              <w:rPr>
                <w:rFonts w:asciiTheme="majorHAnsi" w:hAnsiTheme="majorHAnsi" w:cs="Calibri"/>
              </w:rPr>
            </w:pPr>
            <w:r w:rsidRPr="008675CA">
              <w:rPr>
                <w:rFonts w:asciiTheme="majorHAnsi" w:hAnsiTheme="majorHAnsi" w:cs="Calibri"/>
              </w:rPr>
              <w:t>30.78</w:t>
            </w:r>
          </w:p>
        </w:tc>
        <w:tc>
          <w:tcPr>
            <w:tcW w:w="936" w:type="pct"/>
          </w:tcPr>
          <w:p w14:paraId="7EDF6C53" w14:textId="77777777" w:rsidR="00606E07" w:rsidRPr="008675CA" w:rsidRDefault="00331DB4" w:rsidP="00CC17B4">
            <w:pPr>
              <w:spacing w:after="0" w:line="240" w:lineRule="auto"/>
              <w:jc w:val="center"/>
              <w:rPr>
                <w:rFonts w:asciiTheme="majorHAnsi" w:hAnsiTheme="majorHAnsi" w:cs="Calibri"/>
              </w:rPr>
            </w:pPr>
            <w:r w:rsidRPr="008675CA">
              <w:rPr>
                <w:rFonts w:asciiTheme="majorHAnsi" w:hAnsiTheme="majorHAnsi" w:cs="Calibri"/>
              </w:rPr>
              <w:t>12.09</w:t>
            </w:r>
          </w:p>
        </w:tc>
      </w:tr>
      <w:tr w:rsidR="00606E07" w:rsidRPr="008675CA" w14:paraId="43C4CD38" w14:textId="77777777" w:rsidTr="00CC17B4">
        <w:trPr>
          <w:trHeight w:val="277"/>
        </w:trPr>
        <w:tc>
          <w:tcPr>
            <w:tcW w:w="1928" w:type="pct"/>
            <w:shd w:val="clear" w:color="auto" w:fill="auto"/>
            <w:vAlign w:val="center"/>
            <w:hideMark/>
          </w:tcPr>
          <w:p w14:paraId="603698C0" w14:textId="77777777" w:rsidR="00606E07" w:rsidRPr="008675CA" w:rsidRDefault="00B35CD8" w:rsidP="00CC17B4">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O&amp;M Expenses</w:t>
            </w:r>
          </w:p>
        </w:tc>
        <w:tc>
          <w:tcPr>
            <w:tcW w:w="923" w:type="pct"/>
          </w:tcPr>
          <w:p w14:paraId="298EDEDC" w14:textId="77777777" w:rsidR="00606E07" w:rsidRPr="008675CA" w:rsidRDefault="009B3A1F" w:rsidP="00CC17B4">
            <w:pPr>
              <w:spacing w:after="0" w:line="240" w:lineRule="auto"/>
              <w:jc w:val="center"/>
              <w:rPr>
                <w:rFonts w:asciiTheme="majorHAnsi" w:hAnsiTheme="majorHAnsi" w:cs="Calibri"/>
              </w:rPr>
            </w:pPr>
            <w:r w:rsidRPr="008675CA">
              <w:rPr>
                <w:rFonts w:asciiTheme="majorHAnsi" w:hAnsiTheme="majorHAnsi" w:cs="Calibri"/>
              </w:rPr>
              <w:t>38.89</w:t>
            </w:r>
          </w:p>
        </w:tc>
        <w:tc>
          <w:tcPr>
            <w:tcW w:w="1213" w:type="pct"/>
          </w:tcPr>
          <w:p w14:paraId="690860FB" w14:textId="77777777" w:rsidR="00606E07" w:rsidRPr="008675CA" w:rsidRDefault="009B3A1F" w:rsidP="00CC17B4">
            <w:pPr>
              <w:spacing w:after="0" w:line="240" w:lineRule="auto"/>
              <w:jc w:val="center"/>
              <w:rPr>
                <w:rFonts w:asciiTheme="majorHAnsi" w:hAnsiTheme="majorHAnsi" w:cs="Calibri"/>
              </w:rPr>
            </w:pPr>
            <w:r w:rsidRPr="008675CA">
              <w:rPr>
                <w:rFonts w:asciiTheme="majorHAnsi" w:hAnsiTheme="majorHAnsi" w:cs="Calibri"/>
              </w:rPr>
              <w:t>38.89</w:t>
            </w:r>
          </w:p>
        </w:tc>
        <w:tc>
          <w:tcPr>
            <w:tcW w:w="936" w:type="pct"/>
          </w:tcPr>
          <w:p w14:paraId="017D6CD5" w14:textId="77777777" w:rsidR="00606E07" w:rsidRPr="008675CA" w:rsidRDefault="00331DB4" w:rsidP="00CC17B4">
            <w:pPr>
              <w:spacing w:after="0" w:line="240" w:lineRule="auto"/>
              <w:jc w:val="center"/>
              <w:rPr>
                <w:rFonts w:asciiTheme="majorHAnsi" w:hAnsiTheme="majorHAnsi" w:cs="Calibri"/>
              </w:rPr>
            </w:pPr>
            <w:r w:rsidRPr="008675CA">
              <w:rPr>
                <w:rFonts w:asciiTheme="majorHAnsi" w:hAnsiTheme="majorHAnsi" w:cs="Calibri"/>
              </w:rPr>
              <w:t>0</w:t>
            </w:r>
          </w:p>
        </w:tc>
      </w:tr>
      <w:tr w:rsidR="00606E07" w:rsidRPr="008675CA" w14:paraId="0715C3CE" w14:textId="77777777" w:rsidTr="00CC17B4">
        <w:trPr>
          <w:trHeight w:val="277"/>
        </w:trPr>
        <w:tc>
          <w:tcPr>
            <w:tcW w:w="1928" w:type="pct"/>
            <w:shd w:val="clear" w:color="auto" w:fill="auto"/>
            <w:vAlign w:val="center"/>
            <w:hideMark/>
          </w:tcPr>
          <w:p w14:paraId="7001ACC4" w14:textId="77777777" w:rsidR="00606E07" w:rsidRPr="008675CA" w:rsidRDefault="00B35CD8" w:rsidP="00CC17B4">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Interest on Working Capital</w:t>
            </w:r>
          </w:p>
        </w:tc>
        <w:tc>
          <w:tcPr>
            <w:tcW w:w="923" w:type="pct"/>
          </w:tcPr>
          <w:p w14:paraId="0B4DD531" w14:textId="77777777" w:rsidR="00606E07" w:rsidRPr="008675CA" w:rsidRDefault="009B3A1F" w:rsidP="00CC17B4">
            <w:pPr>
              <w:spacing w:after="0" w:line="240" w:lineRule="auto"/>
              <w:jc w:val="center"/>
              <w:rPr>
                <w:rFonts w:asciiTheme="majorHAnsi" w:hAnsiTheme="majorHAnsi" w:cs="Calibri"/>
                <w:b/>
              </w:rPr>
            </w:pPr>
            <w:r w:rsidRPr="008675CA">
              <w:rPr>
                <w:rFonts w:asciiTheme="majorHAnsi" w:hAnsiTheme="majorHAnsi" w:cs="Calibri"/>
                <w:b/>
              </w:rPr>
              <w:t>5.57</w:t>
            </w:r>
          </w:p>
        </w:tc>
        <w:tc>
          <w:tcPr>
            <w:tcW w:w="1213" w:type="pct"/>
          </w:tcPr>
          <w:p w14:paraId="43F86130" w14:textId="77777777" w:rsidR="00606E07" w:rsidRPr="008675CA" w:rsidRDefault="009B3A1F" w:rsidP="00CC17B4">
            <w:pPr>
              <w:spacing w:after="0" w:line="240" w:lineRule="auto"/>
              <w:jc w:val="center"/>
              <w:rPr>
                <w:rFonts w:asciiTheme="majorHAnsi" w:hAnsiTheme="majorHAnsi" w:cs="Calibri"/>
              </w:rPr>
            </w:pPr>
            <w:r w:rsidRPr="008675CA">
              <w:rPr>
                <w:rFonts w:asciiTheme="majorHAnsi" w:hAnsiTheme="majorHAnsi" w:cs="Calibri"/>
              </w:rPr>
              <w:t>4.69</w:t>
            </w:r>
          </w:p>
        </w:tc>
        <w:tc>
          <w:tcPr>
            <w:tcW w:w="936" w:type="pct"/>
          </w:tcPr>
          <w:p w14:paraId="2AB5449B" w14:textId="77777777" w:rsidR="00606E07" w:rsidRPr="008675CA" w:rsidRDefault="00331DB4" w:rsidP="00CC17B4">
            <w:pPr>
              <w:spacing w:after="0" w:line="240" w:lineRule="auto"/>
              <w:jc w:val="center"/>
              <w:rPr>
                <w:rFonts w:asciiTheme="majorHAnsi" w:hAnsiTheme="majorHAnsi" w:cs="Calibri"/>
              </w:rPr>
            </w:pPr>
            <w:r w:rsidRPr="008675CA">
              <w:rPr>
                <w:rFonts w:asciiTheme="majorHAnsi" w:hAnsiTheme="majorHAnsi" w:cs="Calibri"/>
              </w:rPr>
              <w:t>0.88</w:t>
            </w:r>
          </w:p>
        </w:tc>
      </w:tr>
      <w:tr w:rsidR="00606E07" w:rsidRPr="008675CA" w14:paraId="342AFFB0" w14:textId="77777777" w:rsidTr="00CC17B4">
        <w:trPr>
          <w:trHeight w:val="277"/>
        </w:trPr>
        <w:tc>
          <w:tcPr>
            <w:tcW w:w="1928" w:type="pct"/>
            <w:shd w:val="clear" w:color="auto" w:fill="auto"/>
            <w:vAlign w:val="center"/>
            <w:hideMark/>
          </w:tcPr>
          <w:p w14:paraId="690572FA" w14:textId="77777777" w:rsidR="00606E07" w:rsidRPr="008675CA" w:rsidRDefault="00606E07" w:rsidP="00CC17B4">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SLDC Charges</w:t>
            </w:r>
          </w:p>
        </w:tc>
        <w:tc>
          <w:tcPr>
            <w:tcW w:w="923" w:type="pct"/>
          </w:tcPr>
          <w:p w14:paraId="1118C30E" w14:textId="77777777" w:rsidR="00606E07" w:rsidRPr="008675CA" w:rsidRDefault="00606E07" w:rsidP="00CC17B4">
            <w:pPr>
              <w:spacing w:after="0" w:line="240" w:lineRule="auto"/>
              <w:jc w:val="center"/>
              <w:rPr>
                <w:rFonts w:asciiTheme="majorHAnsi" w:hAnsiTheme="majorHAnsi" w:cs="Calibri"/>
              </w:rPr>
            </w:pPr>
            <w:r w:rsidRPr="008675CA">
              <w:rPr>
                <w:rFonts w:asciiTheme="majorHAnsi" w:hAnsiTheme="majorHAnsi" w:cs="Calibri"/>
              </w:rPr>
              <w:t>0</w:t>
            </w:r>
          </w:p>
        </w:tc>
        <w:tc>
          <w:tcPr>
            <w:tcW w:w="1213" w:type="pct"/>
          </w:tcPr>
          <w:p w14:paraId="7DFFA894" w14:textId="77777777" w:rsidR="00606E07" w:rsidRPr="008675CA" w:rsidRDefault="00606E07" w:rsidP="00CC17B4">
            <w:pPr>
              <w:spacing w:after="0" w:line="240" w:lineRule="auto"/>
              <w:jc w:val="center"/>
              <w:rPr>
                <w:rFonts w:asciiTheme="majorHAnsi" w:hAnsiTheme="majorHAnsi" w:cs="Calibri"/>
              </w:rPr>
            </w:pPr>
            <w:r w:rsidRPr="008675CA">
              <w:rPr>
                <w:rFonts w:asciiTheme="majorHAnsi" w:hAnsiTheme="majorHAnsi" w:cs="Calibri"/>
              </w:rPr>
              <w:t>0</w:t>
            </w:r>
          </w:p>
        </w:tc>
        <w:tc>
          <w:tcPr>
            <w:tcW w:w="936" w:type="pct"/>
          </w:tcPr>
          <w:p w14:paraId="53F33452" w14:textId="77777777" w:rsidR="00606E07" w:rsidRPr="008675CA" w:rsidRDefault="00606E07" w:rsidP="00CC17B4">
            <w:pPr>
              <w:spacing w:after="0" w:line="240" w:lineRule="auto"/>
              <w:jc w:val="center"/>
              <w:rPr>
                <w:rFonts w:asciiTheme="majorHAnsi" w:hAnsiTheme="majorHAnsi" w:cs="Calibri"/>
              </w:rPr>
            </w:pPr>
            <w:r w:rsidRPr="008675CA">
              <w:rPr>
                <w:rFonts w:asciiTheme="majorHAnsi" w:hAnsiTheme="majorHAnsi" w:cs="Calibri"/>
              </w:rPr>
              <w:t>0</w:t>
            </w:r>
          </w:p>
        </w:tc>
      </w:tr>
      <w:tr w:rsidR="00606E07" w:rsidRPr="008675CA" w14:paraId="4728F703" w14:textId="77777777" w:rsidTr="00CC17B4">
        <w:trPr>
          <w:trHeight w:val="277"/>
        </w:trPr>
        <w:tc>
          <w:tcPr>
            <w:tcW w:w="1928" w:type="pct"/>
            <w:shd w:val="clear" w:color="auto" w:fill="auto"/>
            <w:vAlign w:val="center"/>
          </w:tcPr>
          <w:p w14:paraId="709FCADE" w14:textId="77777777" w:rsidR="00606E07" w:rsidRPr="008675CA" w:rsidRDefault="00606E07" w:rsidP="00CC17B4">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Misc. Expense &amp; Bad Debts</w:t>
            </w:r>
          </w:p>
        </w:tc>
        <w:tc>
          <w:tcPr>
            <w:tcW w:w="923" w:type="pct"/>
          </w:tcPr>
          <w:p w14:paraId="3D368EE0" w14:textId="77777777" w:rsidR="00606E07" w:rsidRPr="008675CA" w:rsidRDefault="00606E07" w:rsidP="00CC17B4">
            <w:pPr>
              <w:spacing w:after="0" w:line="240" w:lineRule="auto"/>
              <w:jc w:val="center"/>
              <w:rPr>
                <w:rFonts w:asciiTheme="majorHAnsi" w:hAnsiTheme="majorHAnsi" w:cs="Calibri"/>
              </w:rPr>
            </w:pPr>
            <w:r w:rsidRPr="008675CA">
              <w:rPr>
                <w:rFonts w:asciiTheme="majorHAnsi" w:hAnsiTheme="majorHAnsi" w:cs="Calibri"/>
              </w:rPr>
              <w:t>0</w:t>
            </w:r>
          </w:p>
        </w:tc>
        <w:tc>
          <w:tcPr>
            <w:tcW w:w="1213" w:type="pct"/>
          </w:tcPr>
          <w:p w14:paraId="7113F453" w14:textId="77777777" w:rsidR="00606E07" w:rsidRPr="008675CA" w:rsidRDefault="00606E07" w:rsidP="00CC17B4">
            <w:pPr>
              <w:spacing w:after="0" w:line="240" w:lineRule="auto"/>
              <w:jc w:val="center"/>
              <w:rPr>
                <w:rFonts w:asciiTheme="majorHAnsi" w:hAnsiTheme="majorHAnsi" w:cs="Calibri"/>
              </w:rPr>
            </w:pPr>
            <w:r w:rsidRPr="008675CA">
              <w:rPr>
                <w:rFonts w:asciiTheme="majorHAnsi" w:hAnsiTheme="majorHAnsi" w:cs="Calibri"/>
              </w:rPr>
              <w:t>0</w:t>
            </w:r>
          </w:p>
        </w:tc>
        <w:tc>
          <w:tcPr>
            <w:tcW w:w="936" w:type="pct"/>
          </w:tcPr>
          <w:p w14:paraId="259102E6" w14:textId="77777777" w:rsidR="00606E07" w:rsidRPr="008675CA" w:rsidRDefault="00606E07" w:rsidP="00CC17B4">
            <w:pPr>
              <w:spacing w:after="0" w:line="240" w:lineRule="auto"/>
              <w:jc w:val="center"/>
              <w:rPr>
                <w:rFonts w:asciiTheme="majorHAnsi" w:hAnsiTheme="majorHAnsi" w:cs="Calibri"/>
              </w:rPr>
            </w:pPr>
            <w:r w:rsidRPr="008675CA">
              <w:rPr>
                <w:rFonts w:asciiTheme="majorHAnsi" w:hAnsiTheme="majorHAnsi" w:cs="Calibri"/>
              </w:rPr>
              <w:t>0</w:t>
            </w:r>
          </w:p>
        </w:tc>
      </w:tr>
      <w:tr w:rsidR="00606E07" w:rsidRPr="008675CA" w14:paraId="59B896F5" w14:textId="77777777" w:rsidTr="00CC17B4">
        <w:trPr>
          <w:trHeight w:val="277"/>
        </w:trPr>
        <w:tc>
          <w:tcPr>
            <w:tcW w:w="1928" w:type="pct"/>
            <w:shd w:val="clear" w:color="auto" w:fill="auto"/>
            <w:vAlign w:val="center"/>
            <w:hideMark/>
          </w:tcPr>
          <w:p w14:paraId="0999168B" w14:textId="77777777" w:rsidR="00606E07" w:rsidRPr="008675CA" w:rsidRDefault="00606E07" w:rsidP="00CC17B4">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Net Prior Period items</w:t>
            </w:r>
          </w:p>
        </w:tc>
        <w:tc>
          <w:tcPr>
            <w:tcW w:w="923" w:type="pct"/>
          </w:tcPr>
          <w:p w14:paraId="51028DEA" w14:textId="77777777" w:rsidR="00606E07" w:rsidRPr="008675CA" w:rsidRDefault="00606E07" w:rsidP="00CC17B4">
            <w:pPr>
              <w:spacing w:after="0" w:line="240" w:lineRule="auto"/>
              <w:jc w:val="center"/>
              <w:rPr>
                <w:rFonts w:asciiTheme="majorHAnsi" w:hAnsiTheme="majorHAnsi" w:cs="Calibri"/>
              </w:rPr>
            </w:pPr>
            <w:r w:rsidRPr="008675CA">
              <w:rPr>
                <w:rFonts w:asciiTheme="majorHAnsi" w:hAnsiTheme="majorHAnsi" w:cs="Calibri"/>
              </w:rPr>
              <w:t>0</w:t>
            </w:r>
          </w:p>
        </w:tc>
        <w:tc>
          <w:tcPr>
            <w:tcW w:w="1213" w:type="pct"/>
          </w:tcPr>
          <w:p w14:paraId="6A0B256B" w14:textId="77777777" w:rsidR="00606E07" w:rsidRPr="008675CA" w:rsidRDefault="00606E07" w:rsidP="00CC17B4">
            <w:pPr>
              <w:spacing w:after="0" w:line="240" w:lineRule="auto"/>
              <w:jc w:val="center"/>
              <w:rPr>
                <w:rFonts w:asciiTheme="majorHAnsi" w:hAnsiTheme="majorHAnsi" w:cs="Calibri"/>
              </w:rPr>
            </w:pPr>
            <w:r w:rsidRPr="008675CA">
              <w:rPr>
                <w:rFonts w:asciiTheme="majorHAnsi" w:hAnsiTheme="majorHAnsi" w:cs="Calibri"/>
              </w:rPr>
              <w:t>0</w:t>
            </w:r>
          </w:p>
        </w:tc>
        <w:tc>
          <w:tcPr>
            <w:tcW w:w="936" w:type="pct"/>
          </w:tcPr>
          <w:p w14:paraId="48A76ACA" w14:textId="77777777" w:rsidR="00606E07" w:rsidRPr="008675CA" w:rsidRDefault="00606E07" w:rsidP="00CC17B4">
            <w:pPr>
              <w:spacing w:after="0" w:line="240" w:lineRule="auto"/>
              <w:jc w:val="center"/>
              <w:rPr>
                <w:rFonts w:asciiTheme="majorHAnsi" w:hAnsiTheme="majorHAnsi" w:cs="Calibri"/>
              </w:rPr>
            </w:pPr>
            <w:r w:rsidRPr="008675CA">
              <w:rPr>
                <w:rFonts w:asciiTheme="majorHAnsi" w:hAnsiTheme="majorHAnsi" w:cs="Calibri"/>
              </w:rPr>
              <w:t>0</w:t>
            </w:r>
          </w:p>
        </w:tc>
      </w:tr>
      <w:tr w:rsidR="00606E07" w:rsidRPr="008675CA" w14:paraId="52B62476" w14:textId="77777777" w:rsidTr="00CC17B4">
        <w:trPr>
          <w:trHeight w:val="277"/>
        </w:trPr>
        <w:tc>
          <w:tcPr>
            <w:tcW w:w="1928" w:type="pct"/>
            <w:shd w:val="clear" w:color="auto" w:fill="auto"/>
            <w:vAlign w:val="center"/>
            <w:hideMark/>
          </w:tcPr>
          <w:p w14:paraId="19840B19" w14:textId="77777777" w:rsidR="00606E07" w:rsidRPr="008675CA" w:rsidRDefault="00606E07" w:rsidP="00CC17B4">
            <w:pPr>
              <w:spacing w:after="0" w:line="240" w:lineRule="auto"/>
              <w:ind w:left="-15"/>
              <w:rPr>
                <w:rFonts w:asciiTheme="majorHAnsi" w:eastAsia="Times New Roman" w:hAnsiTheme="majorHAnsi" w:cs="Calibri"/>
                <w:bCs/>
              </w:rPr>
            </w:pPr>
            <w:r w:rsidRPr="008675CA">
              <w:rPr>
                <w:rFonts w:asciiTheme="majorHAnsi" w:eastAsia="Times New Roman" w:hAnsiTheme="majorHAnsi" w:cs="Calibri"/>
                <w:bCs/>
              </w:rPr>
              <w:t>Gross AFC</w:t>
            </w:r>
          </w:p>
        </w:tc>
        <w:tc>
          <w:tcPr>
            <w:tcW w:w="923" w:type="pct"/>
          </w:tcPr>
          <w:p w14:paraId="79AA8C9B" w14:textId="77777777" w:rsidR="00606E07" w:rsidRPr="008675CA" w:rsidRDefault="00331DB4" w:rsidP="00CC17B4">
            <w:pPr>
              <w:spacing w:after="0" w:line="240" w:lineRule="auto"/>
              <w:jc w:val="center"/>
              <w:rPr>
                <w:rFonts w:asciiTheme="majorHAnsi" w:hAnsiTheme="majorHAnsi" w:cs="Calibri"/>
              </w:rPr>
            </w:pPr>
            <w:r w:rsidRPr="008675CA">
              <w:rPr>
                <w:rFonts w:asciiTheme="majorHAnsi" w:hAnsiTheme="majorHAnsi" w:cs="Calibri"/>
              </w:rPr>
              <w:t>202.74</w:t>
            </w:r>
          </w:p>
        </w:tc>
        <w:tc>
          <w:tcPr>
            <w:tcW w:w="1213" w:type="pct"/>
          </w:tcPr>
          <w:p w14:paraId="1EE0FDF0" w14:textId="77777777" w:rsidR="00606E07" w:rsidRPr="008675CA" w:rsidRDefault="00331DB4" w:rsidP="00CC17B4">
            <w:pPr>
              <w:spacing w:after="0" w:line="240" w:lineRule="auto"/>
              <w:jc w:val="center"/>
              <w:rPr>
                <w:rFonts w:asciiTheme="majorHAnsi" w:hAnsiTheme="majorHAnsi" w:cs="Calibri"/>
              </w:rPr>
            </w:pPr>
            <w:r w:rsidRPr="008675CA">
              <w:rPr>
                <w:rFonts w:asciiTheme="majorHAnsi" w:hAnsiTheme="majorHAnsi" w:cs="Calibri"/>
              </w:rPr>
              <w:t>166.16</w:t>
            </w:r>
          </w:p>
        </w:tc>
        <w:tc>
          <w:tcPr>
            <w:tcW w:w="936" w:type="pct"/>
          </w:tcPr>
          <w:p w14:paraId="387A9BC2" w14:textId="77777777" w:rsidR="00606E07" w:rsidRPr="008675CA" w:rsidRDefault="00331DB4" w:rsidP="00CC17B4">
            <w:pPr>
              <w:spacing w:after="0" w:line="240" w:lineRule="auto"/>
              <w:jc w:val="center"/>
              <w:rPr>
                <w:rFonts w:asciiTheme="majorHAnsi" w:hAnsiTheme="majorHAnsi" w:cs="Calibri"/>
              </w:rPr>
            </w:pPr>
            <w:r w:rsidRPr="008675CA">
              <w:rPr>
                <w:rFonts w:asciiTheme="majorHAnsi" w:hAnsiTheme="majorHAnsi" w:cs="Calibri"/>
              </w:rPr>
              <w:t>36.58</w:t>
            </w:r>
          </w:p>
        </w:tc>
      </w:tr>
      <w:tr w:rsidR="00606E07" w:rsidRPr="008675CA" w14:paraId="63D8A487" w14:textId="77777777" w:rsidTr="00CC17B4">
        <w:trPr>
          <w:trHeight w:val="277"/>
        </w:trPr>
        <w:tc>
          <w:tcPr>
            <w:tcW w:w="1928" w:type="pct"/>
            <w:shd w:val="clear" w:color="auto" w:fill="auto"/>
            <w:vAlign w:val="center"/>
            <w:hideMark/>
          </w:tcPr>
          <w:p w14:paraId="30A1AB8B" w14:textId="77777777" w:rsidR="00606E07" w:rsidRPr="008675CA" w:rsidRDefault="00606E07" w:rsidP="00CC17B4">
            <w:pPr>
              <w:spacing w:after="0" w:line="240" w:lineRule="auto"/>
              <w:ind w:left="-15"/>
              <w:rPr>
                <w:rFonts w:asciiTheme="majorHAnsi" w:eastAsia="Times New Roman" w:hAnsiTheme="majorHAnsi" w:cs="Calibri"/>
                <w:bCs/>
              </w:rPr>
            </w:pPr>
            <w:r w:rsidRPr="008675CA">
              <w:rPr>
                <w:rFonts w:asciiTheme="majorHAnsi" w:eastAsia="Times New Roman" w:hAnsiTheme="majorHAnsi" w:cs="Calibri"/>
                <w:bCs/>
              </w:rPr>
              <w:t xml:space="preserve">Less: </w:t>
            </w:r>
            <w:r w:rsidRPr="008675CA">
              <w:rPr>
                <w:rFonts w:asciiTheme="majorHAnsi" w:eastAsia="Times New Roman" w:hAnsiTheme="majorHAnsi" w:cs="Calibri"/>
              </w:rPr>
              <w:t>Non-Tariff Income</w:t>
            </w:r>
          </w:p>
        </w:tc>
        <w:tc>
          <w:tcPr>
            <w:tcW w:w="923" w:type="pct"/>
          </w:tcPr>
          <w:p w14:paraId="453EC3D2" w14:textId="77777777" w:rsidR="00606E07" w:rsidRPr="008675CA" w:rsidRDefault="00B35CD8" w:rsidP="00CC17B4">
            <w:pPr>
              <w:spacing w:after="0" w:line="240" w:lineRule="auto"/>
              <w:jc w:val="center"/>
              <w:rPr>
                <w:rFonts w:asciiTheme="majorHAnsi" w:hAnsiTheme="majorHAnsi" w:cs="Calibri"/>
              </w:rPr>
            </w:pPr>
            <w:r w:rsidRPr="008675CA">
              <w:rPr>
                <w:rFonts w:asciiTheme="majorHAnsi" w:hAnsiTheme="majorHAnsi" w:cs="Calibri"/>
              </w:rPr>
              <w:t>0</w:t>
            </w:r>
          </w:p>
        </w:tc>
        <w:tc>
          <w:tcPr>
            <w:tcW w:w="1213" w:type="pct"/>
          </w:tcPr>
          <w:p w14:paraId="13EB1E57" w14:textId="77777777" w:rsidR="00606E07" w:rsidRPr="008675CA" w:rsidRDefault="00331DB4" w:rsidP="00CC17B4">
            <w:pPr>
              <w:spacing w:after="0" w:line="240" w:lineRule="auto"/>
              <w:jc w:val="center"/>
              <w:rPr>
                <w:rFonts w:asciiTheme="majorHAnsi" w:hAnsiTheme="majorHAnsi" w:cs="Calibri"/>
              </w:rPr>
            </w:pPr>
            <w:r w:rsidRPr="008675CA">
              <w:rPr>
                <w:rFonts w:asciiTheme="majorHAnsi" w:hAnsiTheme="majorHAnsi" w:cs="Calibri"/>
              </w:rPr>
              <w:t>0</w:t>
            </w:r>
          </w:p>
        </w:tc>
        <w:tc>
          <w:tcPr>
            <w:tcW w:w="936" w:type="pct"/>
          </w:tcPr>
          <w:p w14:paraId="3DF7BB49" w14:textId="77777777" w:rsidR="00606E07" w:rsidRPr="008675CA" w:rsidRDefault="00331DB4" w:rsidP="00CC17B4">
            <w:pPr>
              <w:spacing w:after="0" w:line="240" w:lineRule="auto"/>
              <w:jc w:val="center"/>
              <w:rPr>
                <w:rFonts w:asciiTheme="majorHAnsi" w:hAnsiTheme="majorHAnsi" w:cs="Calibri"/>
              </w:rPr>
            </w:pPr>
            <w:r w:rsidRPr="008675CA">
              <w:rPr>
                <w:rFonts w:asciiTheme="majorHAnsi" w:hAnsiTheme="majorHAnsi" w:cs="Calibri"/>
              </w:rPr>
              <w:t>0</w:t>
            </w:r>
          </w:p>
        </w:tc>
      </w:tr>
      <w:tr w:rsidR="00606E07" w:rsidRPr="008675CA" w14:paraId="2E9A7730" w14:textId="77777777" w:rsidTr="00CC17B4">
        <w:trPr>
          <w:trHeight w:val="277"/>
        </w:trPr>
        <w:tc>
          <w:tcPr>
            <w:tcW w:w="1928" w:type="pct"/>
            <w:shd w:val="clear" w:color="auto" w:fill="auto"/>
            <w:vAlign w:val="center"/>
            <w:hideMark/>
          </w:tcPr>
          <w:p w14:paraId="092CB40D" w14:textId="77777777" w:rsidR="00606E07" w:rsidRPr="008675CA" w:rsidRDefault="00606E07" w:rsidP="00CC17B4">
            <w:pPr>
              <w:spacing w:after="0" w:line="240" w:lineRule="auto"/>
              <w:ind w:left="-15"/>
              <w:rPr>
                <w:rFonts w:asciiTheme="majorHAnsi" w:eastAsia="Times New Roman" w:hAnsiTheme="majorHAnsi" w:cs="Calibri"/>
                <w:b/>
                <w:bCs/>
              </w:rPr>
            </w:pPr>
            <w:r w:rsidRPr="008675CA">
              <w:rPr>
                <w:rFonts w:asciiTheme="majorHAnsi" w:eastAsia="Times New Roman" w:hAnsiTheme="majorHAnsi" w:cs="Calibri"/>
                <w:b/>
                <w:bCs/>
              </w:rPr>
              <w:t>Net AFC</w:t>
            </w:r>
          </w:p>
        </w:tc>
        <w:tc>
          <w:tcPr>
            <w:tcW w:w="923" w:type="pct"/>
          </w:tcPr>
          <w:p w14:paraId="13040482" w14:textId="77777777" w:rsidR="00606E07" w:rsidRPr="008675CA" w:rsidRDefault="009B3A1F" w:rsidP="00CC17B4">
            <w:pPr>
              <w:spacing w:after="0" w:line="240" w:lineRule="auto"/>
              <w:jc w:val="center"/>
              <w:rPr>
                <w:rFonts w:asciiTheme="majorHAnsi" w:hAnsiTheme="majorHAnsi" w:cs="Calibri"/>
                <w:b/>
              </w:rPr>
            </w:pPr>
            <w:r w:rsidRPr="008675CA">
              <w:rPr>
                <w:rFonts w:asciiTheme="majorHAnsi" w:hAnsiTheme="majorHAnsi" w:cs="Calibri"/>
                <w:b/>
              </w:rPr>
              <w:t>202.74</w:t>
            </w:r>
          </w:p>
        </w:tc>
        <w:tc>
          <w:tcPr>
            <w:tcW w:w="1213" w:type="pct"/>
          </w:tcPr>
          <w:p w14:paraId="1C2DA208" w14:textId="77777777" w:rsidR="00606E07" w:rsidRPr="008675CA" w:rsidRDefault="00331DB4" w:rsidP="00CC17B4">
            <w:pPr>
              <w:spacing w:after="0" w:line="240" w:lineRule="auto"/>
              <w:jc w:val="center"/>
              <w:rPr>
                <w:rFonts w:asciiTheme="majorHAnsi" w:hAnsiTheme="majorHAnsi" w:cs="Calibri"/>
                <w:b/>
              </w:rPr>
            </w:pPr>
            <w:r w:rsidRPr="008675CA">
              <w:rPr>
                <w:rFonts w:asciiTheme="majorHAnsi" w:hAnsiTheme="majorHAnsi" w:cs="Calibri"/>
                <w:b/>
              </w:rPr>
              <w:t>166.16</w:t>
            </w:r>
          </w:p>
        </w:tc>
        <w:tc>
          <w:tcPr>
            <w:tcW w:w="936" w:type="pct"/>
          </w:tcPr>
          <w:p w14:paraId="1DADC63B" w14:textId="77777777" w:rsidR="00606E07" w:rsidRPr="008675CA" w:rsidRDefault="00331DB4" w:rsidP="00CC17B4">
            <w:pPr>
              <w:spacing w:after="0" w:line="240" w:lineRule="auto"/>
              <w:jc w:val="center"/>
              <w:rPr>
                <w:rFonts w:asciiTheme="majorHAnsi" w:hAnsiTheme="majorHAnsi" w:cs="Calibri"/>
                <w:b/>
              </w:rPr>
            </w:pPr>
            <w:r w:rsidRPr="008675CA">
              <w:rPr>
                <w:rFonts w:asciiTheme="majorHAnsi" w:hAnsiTheme="majorHAnsi" w:cs="Calibri"/>
                <w:b/>
              </w:rPr>
              <w:t>36.58</w:t>
            </w:r>
          </w:p>
        </w:tc>
      </w:tr>
      <w:tr w:rsidR="00606E07" w:rsidRPr="008675CA" w14:paraId="25E3D1A6" w14:textId="77777777" w:rsidTr="00CC17B4">
        <w:trPr>
          <w:trHeight w:val="277"/>
        </w:trPr>
        <w:tc>
          <w:tcPr>
            <w:tcW w:w="1928" w:type="pct"/>
            <w:shd w:val="clear" w:color="auto" w:fill="auto"/>
            <w:vAlign w:val="center"/>
            <w:hideMark/>
          </w:tcPr>
          <w:p w14:paraId="76DB374A" w14:textId="77777777" w:rsidR="00606E07" w:rsidRPr="008675CA" w:rsidRDefault="00606E07" w:rsidP="00CC17B4">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Revenue from operations</w:t>
            </w:r>
            <w:r w:rsidR="00B35CD8" w:rsidRPr="008675CA">
              <w:rPr>
                <w:rFonts w:asciiTheme="majorHAnsi" w:eastAsia="Times New Roman" w:hAnsiTheme="majorHAnsi" w:cs="Calibri"/>
              </w:rPr>
              <w:t xml:space="preserve"> </w:t>
            </w:r>
          </w:p>
        </w:tc>
        <w:tc>
          <w:tcPr>
            <w:tcW w:w="923" w:type="pct"/>
          </w:tcPr>
          <w:p w14:paraId="52E4FD54" w14:textId="77777777" w:rsidR="00606E07" w:rsidRPr="008675CA" w:rsidRDefault="00B35CD8" w:rsidP="00CC17B4">
            <w:pPr>
              <w:spacing w:after="0" w:line="240" w:lineRule="auto"/>
              <w:jc w:val="center"/>
              <w:rPr>
                <w:rFonts w:asciiTheme="majorHAnsi" w:hAnsiTheme="majorHAnsi" w:cs="Calibri"/>
                <w:b/>
              </w:rPr>
            </w:pPr>
            <w:r w:rsidRPr="008675CA">
              <w:rPr>
                <w:rFonts w:asciiTheme="majorHAnsi" w:hAnsiTheme="majorHAnsi" w:cs="Calibri"/>
                <w:b/>
              </w:rPr>
              <w:t>58.68</w:t>
            </w:r>
          </w:p>
        </w:tc>
        <w:tc>
          <w:tcPr>
            <w:tcW w:w="1213" w:type="pct"/>
          </w:tcPr>
          <w:p w14:paraId="35D76BA3" w14:textId="77777777" w:rsidR="00606E07" w:rsidRPr="008675CA" w:rsidRDefault="00606E07" w:rsidP="00CC17B4">
            <w:pPr>
              <w:spacing w:after="0" w:line="240" w:lineRule="auto"/>
              <w:jc w:val="center"/>
              <w:rPr>
                <w:rFonts w:asciiTheme="majorHAnsi" w:hAnsiTheme="majorHAnsi" w:cs="Calibri"/>
                <w:b/>
              </w:rPr>
            </w:pPr>
          </w:p>
        </w:tc>
        <w:tc>
          <w:tcPr>
            <w:tcW w:w="936" w:type="pct"/>
          </w:tcPr>
          <w:p w14:paraId="24492A2D" w14:textId="77777777" w:rsidR="00606E07" w:rsidRPr="008675CA" w:rsidRDefault="00606E07" w:rsidP="00CC17B4">
            <w:pPr>
              <w:spacing w:after="0" w:line="240" w:lineRule="auto"/>
              <w:jc w:val="center"/>
              <w:rPr>
                <w:rFonts w:asciiTheme="majorHAnsi" w:hAnsiTheme="majorHAnsi" w:cs="Calibri"/>
                <w:b/>
              </w:rPr>
            </w:pPr>
          </w:p>
        </w:tc>
      </w:tr>
      <w:tr w:rsidR="00606E07" w:rsidRPr="008675CA" w14:paraId="04A427DA" w14:textId="77777777" w:rsidTr="00CC17B4">
        <w:trPr>
          <w:trHeight w:val="277"/>
        </w:trPr>
        <w:tc>
          <w:tcPr>
            <w:tcW w:w="1928" w:type="pct"/>
            <w:shd w:val="clear" w:color="auto" w:fill="auto"/>
            <w:vAlign w:val="center"/>
            <w:hideMark/>
          </w:tcPr>
          <w:p w14:paraId="2FEE83DB" w14:textId="77777777" w:rsidR="00606E07" w:rsidRPr="008675CA" w:rsidRDefault="00606E07" w:rsidP="00CC17B4">
            <w:pPr>
              <w:spacing w:after="0" w:line="240" w:lineRule="auto"/>
              <w:rPr>
                <w:rFonts w:asciiTheme="majorHAnsi" w:eastAsia="Times New Roman" w:hAnsiTheme="majorHAnsi" w:cs="Calibri"/>
                <w:b/>
                <w:bCs/>
              </w:rPr>
            </w:pPr>
            <w:r w:rsidRPr="008675CA">
              <w:rPr>
                <w:rFonts w:asciiTheme="majorHAnsi" w:eastAsia="Times New Roman" w:hAnsiTheme="majorHAnsi" w:cs="Calibri"/>
                <w:b/>
                <w:bCs/>
              </w:rPr>
              <w:t>Gap (surplus)</w:t>
            </w:r>
          </w:p>
        </w:tc>
        <w:tc>
          <w:tcPr>
            <w:tcW w:w="923" w:type="pct"/>
          </w:tcPr>
          <w:p w14:paraId="6C452506" w14:textId="77777777" w:rsidR="00606E07" w:rsidRPr="008675CA" w:rsidRDefault="009B3A1F" w:rsidP="00CC17B4">
            <w:pPr>
              <w:spacing w:after="0" w:line="240" w:lineRule="auto"/>
              <w:jc w:val="center"/>
              <w:rPr>
                <w:rFonts w:asciiTheme="majorHAnsi" w:hAnsiTheme="majorHAnsi" w:cs="Calibri"/>
                <w:b/>
              </w:rPr>
            </w:pPr>
            <w:r w:rsidRPr="008675CA">
              <w:rPr>
                <w:rFonts w:asciiTheme="majorHAnsi" w:hAnsiTheme="majorHAnsi" w:cs="Calibri"/>
                <w:b/>
              </w:rPr>
              <w:t>144.06</w:t>
            </w:r>
          </w:p>
        </w:tc>
        <w:tc>
          <w:tcPr>
            <w:tcW w:w="1213" w:type="pct"/>
          </w:tcPr>
          <w:p w14:paraId="33AA476C" w14:textId="26C3B398" w:rsidR="00606E07" w:rsidRPr="008675CA" w:rsidRDefault="007C46EE" w:rsidP="00CC17B4">
            <w:pPr>
              <w:spacing w:after="0" w:line="240" w:lineRule="auto"/>
              <w:jc w:val="center"/>
              <w:rPr>
                <w:rFonts w:asciiTheme="majorHAnsi" w:hAnsiTheme="majorHAnsi" w:cs="Calibri"/>
                <w:b/>
                <w:highlight w:val="yellow"/>
              </w:rPr>
            </w:pPr>
            <w:r w:rsidRPr="007C46EE">
              <w:rPr>
                <w:rFonts w:asciiTheme="majorHAnsi" w:hAnsiTheme="majorHAnsi" w:cs="Calibri"/>
                <w:b/>
              </w:rPr>
              <w:t>10</w:t>
            </w:r>
            <w:r w:rsidR="002C055C">
              <w:rPr>
                <w:rFonts w:asciiTheme="majorHAnsi" w:hAnsiTheme="majorHAnsi" w:cs="Calibri"/>
                <w:b/>
              </w:rPr>
              <w:t>7</w:t>
            </w:r>
            <w:r w:rsidRPr="007C46EE">
              <w:rPr>
                <w:rFonts w:asciiTheme="majorHAnsi" w:hAnsiTheme="majorHAnsi" w:cs="Calibri"/>
                <w:b/>
              </w:rPr>
              <w:t>.48</w:t>
            </w:r>
          </w:p>
        </w:tc>
        <w:tc>
          <w:tcPr>
            <w:tcW w:w="936" w:type="pct"/>
          </w:tcPr>
          <w:p w14:paraId="2682D7F9" w14:textId="293AEBEF" w:rsidR="00606E07" w:rsidRPr="002C055C" w:rsidRDefault="002C055C" w:rsidP="00CC17B4">
            <w:pPr>
              <w:spacing w:after="0" w:line="240" w:lineRule="auto"/>
              <w:jc w:val="center"/>
              <w:rPr>
                <w:rFonts w:asciiTheme="majorHAnsi" w:hAnsiTheme="majorHAnsi" w:cs="Calibri"/>
                <w:b/>
              </w:rPr>
            </w:pPr>
            <w:r w:rsidRPr="002C055C">
              <w:rPr>
                <w:rFonts w:asciiTheme="majorHAnsi" w:hAnsiTheme="majorHAnsi" w:cs="Calibri"/>
                <w:b/>
              </w:rPr>
              <w:t>36.58</w:t>
            </w:r>
          </w:p>
        </w:tc>
      </w:tr>
    </w:tbl>
    <w:p w14:paraId="001C7065" w14:textId="77777777" w:rsidR="002C055C" w:rsidRDefault="002C055C" w:rsidP="00F12881">
      <w:pPr>
        <w:pStyle w:val="Style3"/>
      </w:pPr>
    </w:p>
    <w:p w14:paraId="2899991C" w14:textId="64570308" w:rsidR="007374C0" w:rsidRPr="003628E8" w:rsidRDefault="00DA77FC" w:rsidP="00F12881">
      <w:pPr>
        <w:pStyle w:val="Style3"/>
      </w:pPr>
      <w:r w:rsidRPr="003628E8">
        <w:t>MePGCL</w:t>
      </w:r>
      <w:r w:rsidR="00EC3BC5" w:rsidRPr="003628E8">
        <w:t xml:space="preserve"> </w:t>
      </w:r>
      <w:r w:rsidR="00331DB4" w:rsidRPr="003628E8">
        <w:t>request the H</w:t>
      </w:r>
      <w:r w:rsidR="006517AE">
        <w:t xml:space="preserve">on’ble Commission to consider an additional </w:t>
      </w:r>
      <w:r w:rsidR="007C46EE" w:rsidRPr="003628E8">
        <w:t xml:space="preserve">revenue </w:t>
      </w:r>
      <w:r w:rsidRPr="003628E8">
        <w:t xml:space="preserve">GAP for review of True up order for FY </w:t>
      </w:r>
      <w:r w:rsidR="00331DB4" w:rsidRPr="003628E8">
        <w:t>2020-21</w:t>
      </w:r>
      <w:r w:rsidRPr="003628E8">
        <w:t xml:space="preserve"> at R</w:t>
      </w:r>
      <w:r w:rsidR="00331DB4" w:rsidRPr="003628E8">
        <w:t>s.</w:t>
      </w:r>
      <w:r w:rsidRPr="003628E8">
        <w:t xml:space="preserve"> </w:t>
      </w:r>
      <w:r w:rsidR="007C46EE" w:rsidRPr="003628E8">
        <w:t>3</w:t>
      </w:r>
      <w:r w:rsidR="002C055C" w:rsidRPr="003628E8">
        <w:t>6</w:t>
      </w:r>
      <w:r w:rsidR="007C46EE" w:rsidRPr="003628E8">
        <w:t>.58</w:t>
      </w:r>
      <w:r w:rsidRPr="003628E8">
        <w:t xml:space="preserve"> Cr.</w:t>
      </w:r>
      <w:bookmarkStart w:id="49" w:name="_Toc102318562"/>
      <w:r w:rsidR="007C46EE" w:rsidRPr="003628E8">
        <w:t xml:space="preserve"> to be kindly adjusted in the review petition for FY 2023-24.</w:t>
      </w:r>
    </w:p>
    <w:p w14:paraId="27938284" w14:textId="77777777" w:rsidR="007374C0" w:rsidRPr="008675CA" w:rsidRDefault="007374C0" w:rsidP="00F12881">
      <w:pPr>
        <w:pStyle w:val="Style3"/>
      </w:pPr>
    </w:p>
    <w:p w14:paraId="6102D665" w14:textId="77777777" w:rsidR="007374C0" w:rsidRPr="0037292C" w:rsidRDefault="00372DCD" w:rsidP="00F12881">
      <w:pPr>
        <w:pStyle w:val="Style3"/>
      </w:pPr>
      <w:r w:rsidRPr="008675CA">
        <w:t>2</w:t>
      </w:r>
      <w:r w:rsidR="007374C0" w:rsidRPr="008675CA">
        <w:t xml:space="preserve">.3. </w:t>
      </w:r>
      <w:r w:rsidR="00DA77FC" w:rsidRPr="00E61C51">
        <w:t xml:space="preserve">TRUE UP OF ARR FOR NUHEP FOR FY </w:t>
      </w:r>
      <w:bookmarkStart w:id="50" w:name="_Toc102318563"/>
      <w:bookmarkEnd w:id="49"/>
      <w:r w:rsidR="00341949" w:rsidRPr="00E61C51">
        <w:t>2020-21</w:t>
      </w:r>
    </w:p>
    <w:p w14:paraId="44E7D5BB" w14:textId="77777777" w:rsidR="007374C0" w:rsidRPr="008675CA" w:rsidRDefault="007374C0" w:rsidP="00F12881">
      <w:pPr>
        <w:pStyle w:val="Style3"/>
      </w:pPr>
    </w:p>
    <w:p w14:paraId="0CFF3623" w14:textId="77777777" w:rsidR="007374C0" w:rsidRPr="004D64E3" w:rsidRDefault="00372DCD" w:rsidP="00F12881">
      <w:pPr>
        <w:pStyle w:val="Style3"/>
      </w:pPr>
      <w:r w:rsidRPr="008675CA">
        <w:t>2</w:t>
      </w:r>
      <w:r w:rsidR="007374C0" w:rsidRPr="008675CA">
        <w:t xml:space="preserve">.3.1 </w:t>
      </w:r>
      <w:r w:rsidR="00DA77FC" w:rsidRPr="004D64E3">
        <w:t>Funding pattern of NUHEP</w:t>
      </w:r>
      <w:bookmarkStart w:id="51" w:name="_Toc102318564"/>
      <w:bookmarkEnd w:id="50"/>
    </w:p>
    <w:p w14:paraId="0B919F77" w14:textId="77777777" w:rsidR="00E61C51" w:rsidRPr="00E61C51" w:rsidRDefault="00E61C51" w:rsidP="00F12881">
      <w:pPr>
        <w:pStyle w:val="Style3"/>
      </w:pPr>
    </w:p>
    <w:p w14:paraId="35CC8FF7" w14:textId="77777777" w:rsidR="00341949" w:rsidRPr="00937755" w:rsidRDefault="00DA77FC" w:rsidP="00F12881">
      <w:pPr>
        <w:pStyle w:val="Style3"/>
      </w:pPr>
      <w:r w:rsidRPr="00937755">
        <w:t>The Hon’ble Commission in its True up order dated 22.</w:t>
      </w:r>
      <w:r w:rsidR="00341949" w:rsidRPr="00937755">
        <w:t>3</w:t>
      </w:r>
      <w:r w:rsidRPr="00937755">
        <w:t>.202</w:t>
      </w:r>
      <w:r w:rsidR="00341949" w:rsidRPr="00937755">
        <w:t>3</w:t>
      </w:r>
      <w:r w:rsidRPr="00937755">
        <w:t xml:space="preserve"> for FY </w:t>
      </w:r>
      <w:r w:rsidR="00341949" w:rsidRPr="00937755">
        <w:t>2020-21</w:t>
      </w:r>
      <w:r w:rsidRPr="00937755">
        <w:t xml:space="preserve"> app</w:t>
      </w:r>
      <w:r w:rsidR="00341949" w:rsidRPr="00937755">
        <w:t xml:space="preserve">roved project cost of NUHEP as </w:t>
      </w:r>
      <w:r w:rsidRPr="00937755">
        <w:t>R</w:t>
      </w:r>
      <w:r w:rsidR="00341949" w:rsidRPr="00937755">
        <w:t>s. 580.72 Cr. (table 24</w:t>
      </w:r>
      <w:r w:rsidRPr="00937755">
        <w:t xml:space="preserve"> of the order).</w:t>
      </w:r>
      <w:r w:rsidR="00341949" w:rsidRPr="00937755">
        <w:t xml:space="preserve"> As per SOA FY 2020-21, the Gross Fixed assets (GFA) of NUHEP is given below:</w:t>
      </w:r>
    </w:p>
    <w:p w14:paraId="03BBD9DD" w14:textId="77777777" w:rsidR="00341949" w:rsidRPr="00E61C51" w:rsidRDefault="00341949" w:rsidP="00F12881">
      <w:pPr>
        <w:pStyle w:val="Style3"/>
      </w:pPr>
    </w:p>
    <w:p w14:paraId="58A1B2AC" w14:textId="1B93D57B" w:rsidR="00341949" w:rsidRPr="000E4EC7" w:rsidRDefault="00AB52B4" w:rsidP="00F12881">
      <w:pPr>
        <w:pStyle w:val="Style3"/>
      </w:pPr>
      <w:r w:rsidRPr="008675CA">
        <w:t xml:space="preserve">              </w:t>
      </w:r>
      <w:r w:rsidRPr="000E4EC7">
        <w:t xml:space="preserve">  </w:t>
      </w:r>
      <w:r w:rsidR="00937755" w:rsidRPr="000E4EC7">
        <w:t xml:space="preserve">Table </w:t>
      </w:r>
      <w:r w:rsidR="0037292C" w:rsidRPr="000E4EC7">
        <w:t>9</w:t>
      </w:r>
      <w:r w:rsidR="00341949" w:rsidRPr="000E4EC7">
        <w:t>: Gross Fixed assets (GFA) of NUHEP</w:t>
      </w:r>
    </w:p>
    <w:tbl>
      <w:tblPr>
        <w:tblStyle w:val="TableGrid"/>
        <w:tblW w:w="0" w:type="auto"/>
        <w:tblInd w:w="817" w:type="dxa"/>
        <w:tblLook w:val="04A0" w:firstRow="1" w:lastRow="0" w:firstColumn="1" w:lastColumn="0" w:noHBand="0" w:noVBand="1"/>
      </w:tblPr>
      <w:tblGrid>
        <w:gridCol w:w="2831"/>
        <w:gridCol w:w="3107"/>
      </w:tblGrid>
      <w:tr w:rsidR="00341949" w:rsidRPr="008675CA" w14:paraId="7EBCA5A5" w14:textId="77777777" w:rsidTr="00E8476A">
        <w:trPr>
          <w:trHeight w:val="264"/>
        </w:trPr>
        <w:tc>
          <w:tcPr>
            <w:tcW w:w="2831" w:type="dxa"/>
          </w:tcPr>
          <w:p w14:paraId="4E5063F3" w14:textId="473685AE" w:rsidR="00341949" w:rsidRPr="004D64E3" w:rsidRDefault="00E8476A" w:rsidP="00F12881">
            <w:pPr>
              <w:pStyle w:val="Style3"/>
            </w:pPr>
            <w:r w:rsidRPr="004D64E3">
              <w:t>Particulars</w:t>
            </w:r>
          </w:p>
        </w:tc>
        <w:tc>
          <w:tcPr>
            <w:tcW w:w="3107" w:type="dxa"/>
          </w:tcPr>
          <w:p w14:paraId="7D173797" w14:textId="77777777" w:rsidR="00341949" w:rsidRPr="004D64E3" w:rsidRDefault="00E8476A" w:rsidP="00F12881">
            <w:pPr>
              <w:pStyle w:val="Style3"/>
            </w:pPr>
            <w:r w:rsidRPr="004D64E3">
              <w:t>FY 2020-21</w:t>
            </w:r>
          </w:p>
        </w:tc>
      </w:tr>
      <w:tr w:rsidR="00341949" w:rsidRPr="008675CA" w14:paraId="1296639D" w14:textId="77777777" w:rsidTr="00E8476A">
        <w:trPr>
          <w:trHeight w:val="264"/>
        </w:trPr>
        <w:tc>
          <w:tcPr>
            <w:tcW w:w="2831" w:type="dxa"/>
          </w:tcPr>
          <w:p w14:paraId="262BACA5" w14:textId="77777777" w:rsidR="00341949" w:rsidRPr="00A41CE0" w:rsidRDefault="00E8476A" w:rsidP="00F12881">
            <w:pPr>
              <w:pStyle w:val="Style3"/>
            </w:pPr>
            <w:r w:rsidRPr="00A41CE0">
              <w:t>Opening GFA</w:t>
            </w:r>
          </w:p>
        </w:tc>
        <w:tc>
          <w:tcPr>
            <w:tcW w:w="3107" w:type="dxa"/>
          </w:tcPr>
          <w:p w14:paraId="748AF999" w14:textId="77777777" w:rsidR="00341949" w:rsidRPr="00A41CE0" w:rsidRDefault="00E8476A" w:rsidP="00F12881">
            <w:pPr>
              <w:pStyle w:val="Style3"/>
            </w:pPr>
            <w:r w:rsidRPr="00A41CE0">
              <w:t>604.13</w:t>
            </w:r>
          </w:p>
        </w:tc>
      </w:tr>
      <w:tr w:rsidR="00341949" w:rsidRPr="008675CA" w14:paraId="08C9778B" w14:textId="77777777" w:rsidTr="00E8476A">
        <w:trPr>
          <w:trHeight w:val="171"/>
        </w:trPr>
        <w:tc>
          <w:tcPr>
            <w:tcW w:w="2831" w:type="dxa"/>
          </w:tcPr>
          <w:p w14:paraId="2E78296C" w14:textId="77777777" w:rsidR="00341949" w:rsidRPr="00A41CE0" w:rsidRDefault="00E8476A" w:rsidP="00F12881">
            <w:pPr>
              <w:pStyle w:val="Style3"/>
            </w:pPr>
            <w:r w:rsidRPr="00A41CE0">
              <w:t>Closing GFA</w:t>
            </w:r>
          </w:p>
        </w:tc>
        <w:tc>
          <w:tcPr>
            <w:tcW w:w="3107" w:type="dxa"/>
          </w:tcPr>
          <w:p w14:paraId="52D9CE3A" w14:textId="77777777" w:rsidR="00341949" w:rsidRPr="00A41CE0" w:rsidRDefault="00E8476A" w:rsidP="00F12881">
            <w:pPr>
              <w:pStyle w:val="Style3"/>
            </w:pPr>
            <w:r w:rsidRPr="00A41CE0">
              <w:t>605.38</w:t>
            </w:r>
          </w:p>
        </w:tc>
      </w:tr>
      <w:tr w:rsidR="00341949" w:rsidRPr="008675CA" w14:paraId="05E3C564" w14:textId="77777777" w:rsidTr="00E8476A">
        <w:trPr>
          <w:trHeight w:val="264"/>
        </w:trPr>
        <w:tc>
          <w:tcPr>
            <w:tcW w:w="2831" w:type="dxa"/>
          </w:tcPr>
          <w:p w14:paraId="33FBB543" w14:textId="77777777" w:rsidR="00341949" w:rsidRPr="00A41CE0" w:rsidRDefault="00E8476A" w:rsidP="00F12881">
            <w:pPr>
              <w:pStyle w:val="Style3"/>
            </w:pPr>
            <w:r w:rsidRPr="00A41CE0">
              <w:t>Average GFA</w:t>
            </w:r>
          </w:p>
        </w:tc>
        <w:tc>
          <w:tcPr>
            <w:tcW w:w="3107" w:type="dxa"/>
          </w:tcPr>
          <w:p w14:paraId="5A6593CB" w14:textId="77777777" w:rsidR="00341949" w:rsidRPr="00A41CE0" w:rsidRDefault="00E8476A" w:rsidP="00F12881">
            <w:pPr>
              <w:pStyle w:val="Style3"/>
            </w:pPr>
            <w:r w:rsidRPr="00A41CE0">
              <w:t>604.75</w:t>
            </w:r>
          </w:p>
        </w:tc>
      </w:tr>
    </w:tbl>
    <w:p w14:paraId="0E183D5C" w14:textId="77777777" w:rsidR="00E8476A" w:rsidRPr="00E61C51" w:rsidRDefault="00341949" w:rsidP="00F12881">
      <w:pPr>
        <w:pStyle w:val="Style3"/>
        <w:rPr>
          <w:sz w:val="16"/>
        </w:rPr>
      </w:pPr>
      <w:r w:rsidRPr="008675CA">
        <w:t xml:space="preserve"> </w:t>
      </w:r>
    </w:p>
    <w:p w14:paraId="52F6B675" w14:textId="77777777" w:rsidR="00DA77FC" w:rsidRPr="008675CA" w:rsidRDefault="00DA77FC" w:rsidP="00F12881">
      <w:pPr>
        <w:pStyle w:val="Style3"/>
      </w:pPr>
      <w:r w:rsidRPr="00671A27">
        <w:t>The actual loan amount</w:t>
      </w:r>
      <w:r w:rsidR="00341949" w:rsidRPr="00671A27">
        <w:t xml:space="preserve"> of NUHEP from PFC</w:t>
      </w:r>
      <w:r w:rsidRPr="00671A27">
        <w:t xml:space="preserve"> is </w:t>
      </w:r>
      <w:r w:rsidR="00341949" w:rsidRPr="00671A27">
        <w:t>Rs.</w:t>
      </w:r>
      <w:r w:rsidRPr="00671A27">
        <w:t>440.30 Cr. The total Equ</w:t>
      </w:r>
      <w:r w:rsidR="00341949" w:rsidRPr="00671A27">
        <w:t xml:space="preserve">ity contribution for NUHEP is </w:t>
      </w:r>
      <w:r w:rsidRPr="00671A27">
        <w:t>R</w:t>
      </w:r>
      <w:r w:rsidR="00341949" w:rsidRPr="00671A27">
        <w:t>s.</w:t>
      </w:r>
      <w:r w:rsidRPr="00671A27">
        <w:t>188.59 Cr (156.00+32.59) (Notifications/letters from the State Govt. atta</w:t>
      </w:r>
      <w:r w:rsidR="00341949" w:rsidRPr="00671A27">
        <w:t>ched in the true up petition).</w:t>
      </w:r>
      <w:r w:rsidRPr="00671A27">
        <w:t xml:space="preserve"> </w:t>
      </w:r>
      <w:r w:rsidR="00341949" w:rsidRPr="00671A27">
        <w:t>Out of Rs. 188.59 Cr., Rs.</w:t>
      </w:r>
      <w:r w:rsidRPr="00671A27">
        <w:t xml:space="preserve"> 24 Cr </w:t>
      </w:r>
      <w:r w:rsidR="00341949" w:rsidRPr="00671A27">
        <w:t xml:space="preserve">is to be </w:t>
      </w:r>
      <w:r w:rsidRPr="00671A27">
        <w:t>infused for Ganol SHP.</w:t>
      </w:r>
      <w:r w:rsidR="00341949" w:rsidRPr="00671A27">
        <w:t xml:space="preserve"> Therefore, Rs. 164.59 Cr. is the actual equity of NUHEP.</w:t>
      </w:r>
      <w:r w:rsidRPr="008675CA">
        <w:t xml:space="preserve"> MePGCL request the Hon’ble Commission to kindly consider the equity amount in the review petition</w:t>
      </w:r>
      <w:bookmarkEnd w:id="51"/>
      <w:r w:rsidR="007374C0" w:rsidRPr="008675CA">
        <w:t>.</w:t>
      </w:r>
    </w:p>
    <w:p w14:paraId="5DC27DA5" w14:textId="1547585A" w:rsidR="003A4ABE" w:rsidRPr="00E61C51" w:rsidRDefault="003A4ABE" w:rsidP="00F12881">
      <w:pPr>
        <w:pStyle w:val="Style3"/>
      </w:pPr>
    </w:p>
    <w:p w14:paraId="095B064D" w14:textId="77777777" w:rsidR="00DA77FC" w:rsidRPr="008675CA" w:rsidRDefault="00DA77FC" w:rsidP="00FC11E3">
      <w:pPr>
        <w:pStyle w:val="head2"/>
        <w:spacing w:before="0" w:after="0"/>
        <w:ind w:left="0" w:firstLine="0"/>
        <w:rPr>
          <w:rFonts w:asciiTheme="majorHAnsi" w:eastAsia="Times New Roman" w:hAnsiTheme="majorHAnsi" w:cs="Times New Roman"/>
          <w:b w:val="0"/>
          <w:bCs w:val="0"/>
          <w:lang w:val="en-GB"/>
        </w:rPr>
      </w:pPr>
      <w:bookmarkStart w:id="52" w:name="_Toc102318567"/>
      <w:r w:rsidRPr="008675CA">
        <w:rPr>
          <w:rFonts w:asciiTheme="majorHAnsi" w:eastAsia="Times New Roman" w:hAnsiTheme="majorHAnsi" w:cs="Times New Roman"/>
          <w:bCs w:val="0"/>
          <w:lang w:val="en-GB"/>
        </w:rPr>
        <w:t xml:space="preserve">Therefore, MePGCL request the Hon’ble Commission to kindly review the Equity amount for NUHEP for FY </w:t>
      </w:r>
      <w:r w:rsidR="00CC17B4" w:rsidRPr="008675CA">
        <w:rPr>
          <w:rFonts w:asciiTheme="majorHAnsi" w:eastAsia="Times New Roman" w:hAnsiTheme="majorHAnsi" w:cs="Times New Roman"/>
          <w:bCs w:val="0"/>
          <w:lang w:val="en-GB"/>
        </w:rPr>
        <w:t>2020-21</w:t>
      </w:r>
      <w:r w:rsidRPr="008675CA">
        <w:rPr>
          <w:rFonts w:asciiTheme="majorHAnsi" w:eastAsia="Times New Roman" w:hAnsiTheme="majorHAnsi" w:cs="Times New Roman"/>
          <w:bCs w:val="0"/>
          <w:lang w:val="en-GB"/>
        </w:rPr>
        <w:t xml:space="preserve"> at </w:t>
      </w:r>
      <w:r w:rsidR="00CC17B4" w:rsidRPr="008675CA">
        <w:rPr>
          <w:rFonts w:asciiTheme="majorHAnsi" w:eastAsia="Times New Roman" w:hAnsiTheme="majorHAnsi" w:cs="Times New Roman"/>
          <w:bCs w:val="0"/>
          <w:lang w:val="en-GB"/>
        </w:rPr>
        <w:t>Rs.</w:t>
      </w:r>
      <w:r w:rsidRPr="008675CA">
        <w:rPr>
          <w:rFonts w:asciiTheme="majorHAnsi" w:eastAsia="Times New Roman" w:hAnsiTheme="majorHAnsi" w:cs="Times New Roman"/>
          <w:bCs w:val="0"/>
          <w:lang w:val="en-GB"/>
        </w:rPr>
        <w:t xml:space="preserve"> 164.59 Cr.</w:t>
      </w:r>
      <w:bookmarkEnd w:id="52"/>
    </w:p>
    <w:p w14:paraId="040D65E8" w14:textId="77777777" w:rsidR="00DA77FC" w:rsidRPr="00E61C51" w:rsidRDefault="00DA77FC" w:rsidP="00F12881">
      <w:pPr>
        <w:pStyle w:val="Style3"/>
      </w:pPr>
    </w:p>
    <w:p w14:paraId="110B3606" w14:textId="77777777" w:rsidR="005F33B8" w:rsidRPr="003037FC" w:rsidRDefault="005F33B8" w:rsidP="00F12881">
      <w:pPr>
        <w:pStyle w:val="Style3"/>
      </w:pPr>
      <w:r w:rsidRPr="003037FC">
        <w:t xml:space="preserve">2.3.2 Depreciation </w:t>
      </w:r>
    </w:p>
    <w:p w14:paraId="7DBE3699" w14:textId="77777777" w:rsidR="003037FC" w:rsidRPr="008675CA" w:rsidRDefault="003037FC" w:rsidP="00F12881">
      <w:pPr>
        <w:pStyle w:val="Style3"/>
      </w:pPr>
    </w:p>
    <w:p w14:paraId="76243541" w14:textId="77777777" w:rsidR="005F33B8" w:rsidRPr="008675CA" w:rsidRDefault="005F33B8" w:rsidP="00F12881">
      <w:pPr>
        <w:pStyle w:val="Style3"/>
      </w:pPr>
      <w:r w:rsidRPr="0005051E">
        <w:lastRenderedPageBreak/>
        <w:t xml:space="preserve">Depreciation </w:t>
      </w:r>
      <w:r w:rsidR="00E26907" w:rsidRPr="0005051E">
        <w:t>of NUHEP as per the segregated account for FY 2020-21</w:t>
      </w:r>
      <w:r w:rsidR="001D3964" w:rsidRPr="0005051E">
        <w:t xml:space="preserve"> attached in the true up petition</w:t>
      </w:r>
      <w:r w:rsidR="00E26907" w:rsidRPr="0005051E">
        <w:t xml:space="preserve"> is given in the table below</w:t>
      </w:r>
      <w:r w:rsidR="00E26907" w:rsidRPr="008675CA">
        <w:t>:</w:t>
      </w:r>
    </w:p>
    <w:p w14:paraId="661BFDD7" w14:textId="77777777" w:rsidR="00AB52B4" w:rsidRDefault="00AB52B4" w:rsidP="00F12881">
      <w:pPr>
        <w:pStyle w:val="Style3"/>
      </w:pPr>
    </w:p>
    <w:p w14:paraId="36C63506" w14:textId="77777777" w:rsidR="00E61C51" w:rsidRDefault="00E61C51" w:rsidP="00F12881">
      <w:pPr>
        <w:pStyle w:val="Style3"/>
      </w:pPr>
    </w:p>
    <w:p w14:paraId="6CECF21B" w14:textId="77777777" w:rsidR="00E61C51" w:rsidRDefault="00E61C51" w:rsidP="00F12881">
      <w:pPr>
        <w:pStyle w:val="Style3"/>
      </w:pPr>
    </w:p>
    <w:p w14:paraId="5AE60B6D" w14:textId="446A137D" w:rsidR="00AB52B4" w:rsidRDefault="00AB52B4" w:rsidP="00F12881">
      <w:pPr>
        <w:pStyle w:val="Style3"/>
      </w:pPr>
      <w:r w:rsidRPr="003A4ABE">
        <w:t xml:space="preserve">Table </w:t>
      </w:r>
      <w:r w:rsidR="003A4ABE" w:rsidRPr="003A4ABE">
        <w:t>10</w:t>
      </w:r>
      <w:r w:rsidRPr="003A4ABE">
        <w:t xml:space="preserve">: </w:t>
      </w:r>
      <w:r w:rsidRPr="003037FC">
        <w:t>Depreciation of NUHEP for FY 2020-21</w:t>
      </w:r>
    </w:p>
    <w:p w14:paraId="3C6C6AC2" w14:textId="77777777" w:rsidR="003A4ABE" w:rsidRPr="00E61C51" w:rsidRDefault="003A4ABE" w:rsidP="00F12881">
      <w:pPr>
        <w:pStyle w:val="Style3"/>
      </w:pPr>
    </w:p>
    <w:tbl>
      <w:tblPr>
        <w:tblStyle w:val="TableGrid"/>
        <w:tblW w:w="0" w:type="auto"/>
        <w:tblLayout w:type="fixed"/>
        <w:tblLook w:val="04A0" w:firstRow="1" w:lastRow="0" w:firstColumn="1" w:lastColumn="0" w:noHBand="0" w:noVBand="1"/>
      </w:tblPr>
      <w:tblGrid>
        <w:gridCol w:w="552"/>
        <w:gridCol w:w="1824"/>
        <w:gridCol w:w="1560"/>
        <w:gridCol w:w="1417"/>
        <w:gridCol w:w="1418"/>
        <w:gridCol w:w="1559"/>
        <w:gridCol w:w="1503"/>
      </w:tblGrid>
      <w:tr w:rsidR="004E2D8C" w:rsidRPr="008675CA" w14:paraId="20614225" w14:textId="77777777" w:rsidTr="00E61C51">
        <w:tc>
          <w:tcPr>
            <w:tcW w:w="552" w:type="dxa"/>
          </w:tcPr>
          <w:p w14:paraId="46514B22" w14:textId="77777777" w:rsidR="004E2D8C" w:rsidRPr="008675CA" w:rsidRDefault="004E2D8C" w:rsidP="00F12881">
            <w:pPr>
              <w:pStyle w:val="Style3"/>
            </w:pPr>
            <w:r w:rsidRPr="008675CA">
              <w:t>Sl No</w:t>
            </w:r>
          </w:p>
        </w:tc>
        <w:tc>
          <w:tcPr>
            <w:tcW w:w="1824" w:type="dxa"/>
          </w:tcPr>
          <w:p w14:paraId="37BC3ED4" w14:textId="77777777" w:rsidR="004E2D8C" w:rsidRPr="008675CA" w:rsidRDefault="004E2D8C" w:rsidP="00F12881">
            <w:pPr>
              <w:pStyle w:val="Style3"/>
            </w:pPr>
            <w:r w:rsidRPr="008675CA">
              <w:t>Name of Asset</w:t>
            </w:r>
          </w:p>
        </w:tc>
        <w:tc>
          <w:tcPr>
            <w:tcW w:w="1560" w:type="dxa"/>
          </w:tcPr>
          <w:p w14:paraId="4BC31EEF" w14:textId="77777777" w:rsidR="004E2D8C" w:rsidRPr="008675CA" w:rsidRDefault="004E2D8C" w:rsidP="00F12881">
            <w:pPr>
              <w:pStyle w:val="Style3"/>
            </w:pPr>
            <w:r w:rsidRPr="008675CA">
              <w:t>Value assets at beginning of the year (Crore)</w:t>
            </w:r>
          </w:p>
        </w:tc>
        <w:tc>
          <w:tcPr>
            <w:tcW w:w="1417" w:type="dxa"/>
          </w:tcPr>
          <w:p w14:paraId="1786A173" w14:textId="77777777" w:rsidR="004E2D8C" w:rsidRPr="008675CA" w:rsidRDefault="004E2D8C" w:rsidP="00F12881">
            <w:pPr>
              <w:pStyle w:val="Style3"/>
            </w:pPr>
            <w:r w:rsidRPr="008675CA">
              <w:t>Addition during the year (Crore)</w:t>
            </w:r>
          </w:p>
        </w:tc>
        <w:tc>
          <w:tcPr>
            <w:tcW w:w="1418" w:type="dxa"/>
          </w:tcPr>
          <w:p w14:paraId="22EC7E76" w14:textId="77777777" w:rsidR="004E2D8C" w:rsidRPr="008675CA" w:rsidRDefault="004E2D8C" w:rsidP="00F12881">
            <w:pPr>
              <w:pStyle w:val="Style3"/>
            </w:pPr>
            <w:r w:rsidRPr="008675CA">
              <w:t>Value assets at the end of the year (Crore)</w:t>
            </w:r>
          </w:p>
        </w:tc>
        <w:tc>
          <w:tcPr>
            <w:tcW w:w="1559" w:type="dxa"/>
          </w:tcPr>
          <w:p w14:paraId="65BC4BDB" w14:textId="77777777" w:rsidR="004E2D8C" w:rsidRPr="008675CA" w:rsidRDefault="004E2D8C" w:rsidP="00F12881">
            <w:pPr>
              <w:pStyle w:val="Style3"/>
            </w:pPr>
            <w:r w:rsidRPr="008675CA">
              <w:t>Rate of Depreciation (%)</w:t>
            </w:r>
          </w:p>
        </w:tc>
        <w:tc>
          <w:tcPr>
            <w:tcW w:w="1503" w:type="dxa"/>
          </w:tcPr>
          <w:p w14:paraId="03B70C58" w14:textId="77777777" w:rsidR="004E2D8C" w:rsidRPr="008675CA" w:rsidRDefault="004E2D8C" w:rsidP="00F12881">
            <w:pPr>
              <w:pStyle w:val="Style3"/>
            </w:pPr>
            <w:r w:rsidRPr="008675CA">
              <w:t>Depreciation charges of the year (Crore)</w:t>
            </w:r>
          </w:p>
        </w:tc>
      </w:tr>
      <w:tr w:rsidR="004E2D8C" w:rsidRPr="008675CA" w14:paraId="7EFB16B2" w14:textId="77777777" w:rsidTr="00E61C51">
        <w:tc>
          <w:tcPr>
            <w:tcW w:w="552" w:type="dxa"/>
          </w:tcPr>
          <w:p w14:paraId="4E33456E" w14:textId="77777777" w:rsidR="004E2D8C" w:rsidRPr="008675CA" w:rsidRDefault="004E2D8C" w:rsidP="00F12881">
            <w:pPr>
              <w:pStyle w:val="Style3"/>
            </w:pPr>
            <w:r w:rsidRPr="008675CA">
              <w:t>1</w:t>
            </w:r>
          </w:p>
        </w:tc>
        <w:tc>
          <w:tcPr>
            <w:tcW w:w="1824" w:type="dxa"/>
          </w:tcPr>
          <w:p w14:paraId="1FFB6B73" w14:textId="77777777" w:rsidR="004E2D8C" w:rsidRPr="008675CA" w:rsidRDefault="004E2D8C" w:rsidP="00F12881">
            <w:pPr>
              <w:pStyle w:val="Style3"/>
            </w:pPr>
            <w:r w:rsidRPr="008675CA">
              <w:t>Land &amp; land rights</w:t>
            </w:r>
          </w:p>
        </w:tc>
        <w:tc>
          <w:tcPr>
            <w:tcW w:w="1560" w:type="dxa"/>
          </w:tcPr>
          <w:p w14:paraId="0B55D021" w14:textId="77777777" w:rsidR="004E2D8C" w:rsidRPr="008675CA" w:rsidRDefault="004E2D8C" w:rsidP="00F12881">
            <w:pPr>
              <w:pStyle w:val="Style3"/>
            </w:pPr>
            <w:r w:rsidRPr="008675CA">
              <w:t>0.475</w:t>
            </w:r>
          </w:p>
        </w:tc>
        <w:tc>
          <w:tcPr>
            <w:tcW w:w="1417" w:type="dxa"/>
          </w:tcPr>
          <w:p w14:paraId="761E420D" w14:textId="77777777" w:rsidR="004E2D8C" w:rsidRPr="008675CA" w:rsidRDefault="004E2D8C" w:rsidP="00F12881">
            <w:pPr>
              <w:pStyle w:val="Style3"/>
            </w:pPr>
            <w:r w:rsidRPr="008675CA">
              <w:t>1.18</w:t>
            </w:r>
          </w:p>
        </w:tc>
        <w:tc>
          <w:tcPr>
            <w:tcW w:w="1418" w:type="dxa"/>
          </w:tcPr>
          <w:p w14:paraId="01D8D22E" w14:textId="77777777" w:rsidR="004E2D8C" w:rsidRPr="008675CA" w:rsidRDefault="004E2D8C" w:rsidP="00F12881">
            <w:pPr>
              <w:pStyle w:val="Style3"/>
            </w:pPr>
            <w:r w:rsidRPr="008675CA">
              <w:t>1.66</w:t>
            </w:r>
          </w:p>
        </w:tc>
        <w:tc>
          <w:tcPr>
            <w:tcW w:w="1559" w:type="dxa"/>
          </w:tcPr>
          <w:p w14:paraId="7603E016" w14:textId="77777777" w:rsidR="004E2D8C" w:rsidRPr="008675CA" w:rsidRDefault="004E2D8C" w:rsidP="00F12881">
            <w:pPr>
              <w:pStyle w:val="Style3"/>
            </w:pPr>
            <w:r w:rsidRPr="008675CA">
              <w:t>-</w:t>
            </w:r>
          </w:p>
        </w:tc>
        <w:tc>
          <w:tcPr>
            <w:tcW w:w="1503" w:type="dxa"/>
          </w:tcPr>
          <w:p w14:paraId="0DB8A0BC" w14:textId="77777777" w:rsidR="004E2D8C" w:rsidRPr="008675CA" w:rsidRDefault="004E2D8C" w:rsidP="00F12881">
            <w:pPr>
              <w:pStyle w:val="Style3"/>
            </w:pPr>
          </w:p>
        </w:tc>
      </w:tr>
      <w:tr w:rsidR="004E2D8C" w:rsidRPr="008675CA" w14:paraId="134EB5F3" w14:textId="77777777" w:rsidTr="00E61C51">
        <w:tc>
          <w:tcPr>
            <w:tcW w:w="552" w:type="dxa"/>
          </w:tcPr>
          <w:p w14:paraId="01A2B908" w14:textId="77777777" w:rsidR="004E2D8C" w:rsidRPr="008675CA" w:rsidRDefault="004E2D8C" w:rsidP="00F12881">
            <w:pPr>
              <w:pStyle w:val="Style3"/>
            </w:pPr>
            <w:r w:rsidRPr="008675CA">
              <w:t>2</w:t>
            </w:r>
          </w:p>
        </w:tc>
        <w:tc>
          <w:tcPr>
            <w:tcW w:w="1824" w:type="dxa"/>
          </w:tcPr>
          <w:p w14:paraId="5AA11FE0" w14:textId="77777777" w:rsidR="004E2D8C" w:rsidRPr="008675CA" w:rsidRDefault="004E2D8C" w:rsidP="00F12881">
            <w:pPr>
              <w:pStyle w:val="Style3"/>
            </w:pPr>
            <w:r w:rsidRPr="008675CA">
              <w:t>Buildings</w:t>
            </w:r>
          </w:p>
        </w:tc>
        <w:tc>
          <w:tcPr>
            <w:tcW w:w="1560" w:type="dxa"/>
          </w:tcPr>
          <w:p w14:paraId="7250C883" w14:textId="77777777" w:rsidR="004E2D8C" w:rsidRPr="008675CA" w:rsidRDefault="004E2D8C" w:rsidP="00F12881">
            <w:pPr>
              <w:pStyle w:val="Style3"/>
            </w:pPr>
            <w:r w:rsidRPr="008675CA">
              <w:t>95.16</w:t>
            </w:r>
          </w:p>
        </w:tc>
        <w:tc>
          <w:tcPr>
            <w:tcW w:w="1417" w:type="dxa"/>
          </w:tcPr>
          <w:p w14:paraId="202943BA" w14:textId="77777777" w:rsidR="004E2D8C" w:rsidRPr="008675CA" w:rsidRDefault="004E2D8C" w:rsidP="00F12881">
            <w:pPr>
              <w:pStyle w:val="Style3"/>
            </w:pPr>
            <w:r w:rsidRPr="008675CA">
              <w:t>-</w:t>
            </w:r>
          </w:p>
        </w:tc>
        <w:tc>
          <w:tcPr>
            <w:tcW w:w="1418" w:type="dxa"/>
          </w:tcPr>
          <w:p w14:paraId="6A17ED0A" w14:textId="77777777" w:rsidR="004E2D8C" w:rsidRPr="008675CA" w:rsidRDefault="004E2D8C" w:rsidP="00F12881">
            <w:pPr>
              <w:pStyle w:val="Style3"/>
            </w:pPr>
            <w:r w:rsidRPr="008675CA">
              <w:t>95.16</w:t>
            </w:r>
          </w:p>
        </w:tc>
        <w:tc>
          <w:tcPr>
            <w:tcW w:w="1559" w:type="dxa"/>
          </w:tcPr>
          <w:p w14:paraId="32ED9ADC" w14:textId="77777777" w:rsidR="004E2D8C" w:rsidRPr="008675CA" w:rsidRDefault="004E2D8C" w:rsidP="00F12881">
            <w:pPr>
              <w:pStyle w:val="Style3"/>
            </w:pPr>
            <w:r w:rsidRPr="008675CA">
              <w:t>3.34</w:t>
            </w:r>
          </w:p>
        </w:tc>
        <w:tc>
          <w:tcPr>
            <w:tcW w:w="1503" w:type="dxa"/>
          </w:tcPr>
          <w:p w14:paraId="605AB7EC" w14:textId="77777777" w:rsidR="004E2D8C" w:rsidRPr="008675CA" w:rsidRDefault="004E2D8C" w:rsidP="00F12881">
            <w:pPr>
              <w:pStyle w:val="Style3"/>
            </w:pPr>
            <w:r w:rsidRPr="008675CA">
              <w:t>3.18</w:t>
            </w:r>
          </w:p>
        </w:tc>
      </w:tr>
      <w:tr w:rsidR="004E2D8C" w:rsidRPr="008675CA" w14:paraId="23AA3F85" w14:textId="77777777" w:rsidTr="00E61C51">
        <w:tc>
          <w:tcPr>
            <w:tcW w:w="552" w:type="dxa"/>
          </w:tcPr>
          <w:p w14:paraId="4DA6DD41" w14:textId="77777777" w:rsidR="004E2D8C" w:rsidRPr="008675CA" w:rsidRDefault="004E2D8C" w:rsidP="00F12881">
            <w:pPr>
              <w:pStyle w:val="Style3"/>
            </w:pPr>
            <w:r w:rsidRPr="008675CA">
              <w:t>3</w:t>
            </w:r>
          </w:p>
        </w:tc>
        <w:tc>
          <w:tcPr>
            <w:tcW w:w="1824" w:type="dxa"/>
          </w:tcPr>
          <w:p w14:paraId="1582E660" w14:textId="77777777" w:rsidR="004E2D8C" w:rsidRPr="008675CA" w:rsidRDefault="004E2D8C" w:rsidP="00F12881">
            <w:pPr>
              <w:pStyle w:val="Style3"/>
            </w:pPr>
            <w:r w:rsidRPr="008675CA">
              <w:t>Hydraulic works</w:t>
            </w:r>
          </w:p>
        </w:tc>
        <w:tc>
          <w:tcPr>
            <w:tcW w:w="1560" w:type="dxa"/>
          </w:tcPr>
          <w:p w14:paraId="59CCA998" w14:textId="77777777" w:rsidR="004E2D8C" w:rsidRPr="008675CA" w:rsidRDefault="004E2D8C" w:rsidP="00F12881">
            <w:pPr>
              <w:pStyle w:val="Style3"/>
            </w:pPr>
            <w:r w:rsidRPr="008675CA">
              <w:t>311.63</w:t>
            </w:r>
          </w:p>
        </w:tc>
        <w:tc>
          <w:tcPr>
            <w:tcW w:w="1417" w:type="dxa"/>
          </w:tcPr>
          <w:p w14:paraId="1B931951" w14:textId="77777777" w:rsidR="004E2D8C" w:rsidRPr="008675CA" w:rsidRDefault="004E2D8C" w:rsidP="00F12881">
            <w:pPr>
              <w:pStyle w:val="Style3"/>
            </w:pPr>
            <w:r w:rsidRPr="008675CA">
              <w:t>0.005</w:t>
            </w:r>
          </w:p>
        </w:tc>
        <w:tc>
          <w:tcPr>
            <w:tcW w:w="1418" w:type="dxa"/>
          </w:tcPr>
          <w:p w14:paraId="753EFDE2" w14:textId="77777777" w:rsidR="004E2D8C" w:rsidRPr="008675CA" w:rsidRDefault="004E2D8C" w:rsidP="00F12881">
            <w:pPr>
              <w:pStyle w:val="Style3"/>
            </w:pPr>
            <w:r w:rsidRPr="008675CA">
              <w:t>311.64</w:t>
            </w:r>
          </w:p>
        </w:tc>
        <w:tc>
          <w:tcPr>
            <w:tcW w:w="1559" w:type="dxa"/>
          </w:tcPr>
          <w:p w14:paraId="0C9EAF8E" w14:textId="77777777" w:rsidR="004E2D8C" w:rsidRPr="008675CA" w:rsidRDefault="004E2D8C" w:rsidP="00F12881">
            <w:pPr>
              <w:pStyle w:val="Style3"/>
            </w:pPr>
            <w:r w:rsidRPr="008675CA">
              <w:t>5.28</w:t>
            </w:r>
          </w:p>
        </w:tc>
        <w:tc>
          <w:tcPr>
            <w:tcW w:w="1503" w:type="dxa"/>
          </w:tcPr>
          <w:p w14:paraId="3EC19628" w14:textId="77777777" w:rsidR="004E2D8C" w:rsidRPr="008675CA" w:rsidRDefault="004E2D8C" w:rsidP="00F12881">
            <w:pPr>
              <w:pStyle w:val="Style3"/>
            </w:pPr>
            <w:r w:rsidRPr="008675CA">
              <w:t>16.45</w:t>
            </w:r>
          </w:p>
        </w:tc>
      </w:tr>
      <w:tr w:rsidR="004E2D8C" w:rsidRPr="008675CA" w14:paraId="0AE8A416" w14:textId="77777777" w:rsidTr="00E61C51">
        <w:tc>
          <w:tcPr>
            <w:tcW w:w="552" w:type="dxa"/>
          </w:tcPr>
          <w:p w14:paraId="555393A1" w14:textId="77777777" w:rsidR="004E2D8C" w:rsidRPr="008675CA" w:rsidRDefault="004E2D8C" w:rsidP="00F12881">
            <w:pPr>
              <w:pStyle w:val="Style3"/>
            </w:pPr>
            <w:r w:rsidRPr="008675CA">
              <w:t>4</w:t>
            </w:r>
          </w:p>
        </w:tc>
        <w:tc>
          <w:tcPr>
            <w:tcW w:w="1824" w:type="dxa"/>
          </w:tcPr>
          <w:p w14:paraId="025357D1" w14:textId="77777777" w:rsidR="004E2D8C" w:rsidRPr="008675CA" w:rsidRDefault="004E2D8C" w:rsidP="00F12881">
            <w:pPr>
              <w:pStyle w:val="Style3"/>
            </w:pPr>
            <w:r w:rsidRPr="008675CA">
              <w:t>Other civil works</w:t>
            </w:r>
          </w:p>
        </w:tc>
        <w:tc>
          <w:tcPr>
            <w:tcW w:w="1560" w:type="dxa"/>
          </w:tcPr>
          <w:p w14:paraId="525C959C" w14:textId="77777777" w:rsidR="004E2D8C" w:rsidRPr="008675CA" w:rsidRDefault="004E2D8C" w:rsidP="00F12881">
            <w:pPr>
              <w:pStyle w:val="Style3"/>
            </w:pPr>
            <w:r w:rsidRPr="008675CA">
              <w:t>33.23</w:t>
            </w:r>
          </w:p>
        </w:tc>
        <w:tc>
          <w:tcPr>
            <w:tcW w:w="1417" w:type="dxa"/>
          </w:tcPr>
          <w:p w14:paraId="44E473B7" w14:textId="77777777" w:rsidR="004E2D8C" w:rsidRPr="008675CA" w:rsidRDefault="004E2D8C" w:rsidP="00F12881">
            <w:pPr>
              <w:pStyle w:val="Style3"/>
            </w:pPr>
            <w:r w:rsidRPr="008675CA">
              <w:t>-</w:t>
            </w:r>
          </w:p>
        </w:tc>
        <w:tc>
          <w:tcPr>
            <w:tcW w:w="1418" w:type="dxa"/>
          </w:tcPr>
          <w:p w14:paraId="0B380F7F" w14:textId="77777777" w:rsidR="004E2D8C" w:rsidRPr="008675CA" w:rsidRDefault="004E2D8C" w:rsidP="00F12881">
            <w:pPr>
              <w:pStyle w:val="Style3"/>
            </w:pPr>
            <w:r w:rsidRPr="008675CA">
              <w:t>33.23</w:t>
            </w:r>
          </w:p>
        </w:tc>
        <w:tc>
          <w:tcPr>
            <w:tcW w:w="1559" w:type="dxa"/>
          </w:tcPr>
          <w:p w14:paraId="00B730B7" w14:textId="77777777" w:rsidR="004E2D8C" w:rsidRPr="008675CA" w:rsidRDefault="004E2D8C" w:rsidP="00F12881">
            <w:pPr>
              <w:pStyle w:val="Style3"/>
            </w:pPr>
            <w:r w:rsidRPr="008675CA">
              <w:t>3.34</w:t>
            </w:r>
          </w:p>
        </w:tc>
        <w:tc>
          <w:tcPr>
            <w:tcW w:w="1503" w:type="dxa"/>
          </w:tcPr>
          <w:p w14:paraId="0ED48B17" w14:textId="77777777" w:rsidR="004E2D8C" w:rsidRPr="008675CA" w:rsidRDefault="004E2D8C" w:rsidP="00F12881">
            <w:pPr>
              <w:pStyle w:val="Style3"/>
            </w:pPr>
            <w:r w:rsidRPr="008675CA">
              <w:t>1.11</w:t>
            </w:r>
          </w:p>
        </w:tc>
      </w:tr>
      <w:tr w:rsidR="004E2D8C" w:rsidRPr="008675CA" w14:paraId="0010C7F0" w14:textId="77777777" w:rsidTr="00E61C51">
        <w:tc>
          <w:tcPr>
            <w:tcW w:w="552" w:type="dxa"/>
          </w:tcPr>
          <w:p w14:paraId="19EB9DD9" w14:textId="77777777" w:rsidR="004E2D8C" w:rsidRPr="008675CA" w:rsidRDefault="004E2D8C" w:rsidP="00F12881">
            <w:pPr>
              <w:pStyle w:val="Style3"/>
            </w:pPr>
            <w:r w:rsidRPr="008675CA">
              <w:t>5</w:t>
            </w:r>
          </w:p>
        </w:tc>
        <w:tc>
          <w:tcPr>
            <w:tcW w:w="1824" w:type="dxa"/>
          </w:tcPr>
          <w:p w14:paraId="7F13525A" w14:textId="77777777" w:rsidR="004E2D8C" w:rsidRPr="008675CA" w:rsidRDefault="004E2D8C" w:rsidP="00F12881">
            <w:pPr>
              <w:pStyle w:val="Style3"/>
            </w:pPr>
            <w:r w:rsidRPr="008675CA">
              <w:t>Plant &amp; Machinery</w:t>
            </w:r>
          </w:p>
        </w:tc>
        <w:tc>
          <w:tcPr>
            <w:tcW w:w="1560" w:type="dxa"/>
          </w:tcPr>
          <w:p w14:paraId="234B37F4" w14:textId="77777777" w:rsidR="004E2D8C" w:rsidRPr="008675CA" w:rsidRDefault="004E2D8C" w:rsidP="00F12881">
            <w:pPr>
              <w:pStyle w:val="Style3"/>
            </w:pPr>
            <w:r w:rsidRPr="008675CA">
              <w:t>159.93</w:t>
            </w:r>
          </w:p>
        </w:tc>
        <w:tc>
          <w:tcPr>
            <w:tcW w:w="1417" w:type="dxa"/>
          </w:tcPr>
          <w:p w14:paraId="17AE4111" w14:textId="77777777" w:rsidR="004E2D8C" w:rsidRPr="008675CA" w:rsidRDefault="004E2D8C" w:rsidP="00F12881">
            <w:pPr>
              <w:pStyle w:val="Style3"/>
            </w:pPr>
            <w:r w:rsidRPr="008675CA">
              <w:t>0.01</w:t>
            </w:r>
          </w:p>
        </w:tc>
        <w:tc>
          <w:tcPr>
            <w:tcW w:w="1418" w:type="dxa"/>
          </w:tcPr>
          <w:p w14:paraId="1302F036" w14:textId="77777777" w:rsidR="004E2D8C" w:rsidRPr="008675CA" w:rsidRDefault="004E2D8C" w:rsidP="00F12881">
            <w:pPr>
              <w:pStyle w:val="Style3"/>
            </w:pPr>
            <w:r w:rsidRPr="008675CA">
              <w:t>159.94</w:t>
            </w:r>
          </w:p>
        </w:tc>
        <w:tc>
          <w:tcPr>
            <w:tcW w:w="1559" w:type="dxa"/>
          </w:tcPr>
          <w:p w14:paraId="72C60295" w14:textId="77777777" w:rsidR="004E2D8C" w:rsidRPr="008675CA" w:rsidRDefault="004E2D8C" w:rsidP="00F12881">
            <w:pPr>
              <w:pStyle w:val="Style3"/>
            </w:pPr>
            <w:r w:rsidRPr="008675CA">
              <w:t>5.28&amp;6.33</w:t>
            </w:r>
          </w:p>
        </w:tc>
        <w:tc>
          <w:tcPr>
            <w:tcW w:w="1503" w:type="dxa"/>
          </w:tcPr>
          <w:p w14:paraId="315E0C76" w14:textId="77777777" w:rsidR="004E2D8C" w:rsidRPr="008675CA" w:rsidRDefault="004E2D8C" w:rsidP="00F12881">
            <w:pPr>
              <w:pStyle w:val="Style3"/>
            </w:pPr>
            <w:r w:rsidRPr="008675CA">
              <w:t>8.44</w:t>
            </w:r>
          </w:p>
        </w:tc>
      </w:tr>
      <w:tr w:rsidR="004E2D8C" w:rsidRPr="008675CA" w14:paraId="14EB30DE" w14:textId="77777777" w:rsidTr="00E61C51">
        <w:tc>
          <w:tcPr>
            <w:tcW w:w="552" w:type="dxa"/>
          </w:tcPr>
          <w:p w14:paraId="1ED2F717" w14:textId="77777777" w:rsidR="004E2D8C" w:rsidRPr="008675CA" w:rsidRDefault="004E2D8C" w:rsidP="00F12881">
            <w:pPr>
              <w:pStyle w:val="Style3"/>
            </w:pPr>
            <w:r w:rsidRPr="008675CA">
              <w:t>6</w:t>
            </w:r>
          </w:p>
        </w:tc>
        <w:tc>
          <w:tcPr>
            <w:tcW w:w="1824" w:type="dxa"/>
          </w:tcPr>
          <w:p w14:paraId="1E5DE9FA" w14:textId="77777777" w:rsidR="004E2D8C" w:rsidRPr="008675CA" w:rsidRDefault="004E2D8C" w:rsidP="00F12881">
            <w:pPr>
              <w:pStyle w:val="Style3"/>
            </w:pPr>
            <w:r w:rsidRPr="008675CA">
              <w:t>Lines &amp; Cable network</w:t>
            </w:r>
          </w:p>
        </w:tc>
        <w:tc>
          <w:tcPr>
            <w:tcW w:w="1560" w:type="dxa"/>
          </w:tcPr>
          <w:p w14:paraId="13E5DAEA" w14:textId="77777777" w:rsidR="004E2D8C" w:rsidRPr="008675CA" w:rsidRDefault="004E2D8C" w:rsidP="00F12881">
            <w:pPr>
              <w:pStyle w:val="Style3"/>
            </w:pPr>
            <w:r w:rsidRPr="008675CA">
              <w:t>3.56</w:t>
            </w:r>
          </w:p>
        </w:tc>
        <w:tc>
          <w:tcPr>
            <w:tcW w:w="1417" w:type="dxa"/>
          </w:tcPr>
          <w:p w14:paraId="740BF43C" w14:textId="77777777" w:rsidR="004E2D8C" w:rsidRPr="008675CA" w:rsidRDefault="004E2D8C" w:rsidP="00F12881">
            <w:pPr>
              <w:pStyle w:val="Style3"/>
            </w:pPr>
            <w:r w:rsidRPr="008675CA">
              <w:t>0.06</w:t>
            </w:r>
          </w:p>
        </w:tc>
        <w:tc>
          <w:tcPr>
            <w:tcW w:w="1418" w:type="dxa"/>
          </w:tcPr>
          <w:p w14:paraId="09A5889A" w14:textId="77777777" w:rsidR="004E2D8C" w:rsidRPr="008675CA" w:rsidRDefault="004E2D8C" w:rsidP="00F12881">
            <w:pPr>
              <w:pStyle w:val="Style3"/>
            </w:pPr>
            <w:r w:rsidRPr="008675CA">
              <w:t>3.62</w:t>
            </w:r>
          </w:p>
        </w:tc>
        <w:tc>
          <w:tcPr>
            <w:tcW w:w="1559" w:type="dxa"/>
          </w:tcPr>
          <w:p w14:paraId="2E763784" w14:textId="77777777" w:rsidR="004E2D8C" w:rsidRPr="008675CA" w:rsidRDefault="004E2D8C" w:rsidP="00F12881">
            <w:pPr>
              <w:pStyle w:val="Style3"/>
            </w:pPr>
            <w:r w:rsidRPr="008675CA">
              <w:t>5.28</w:t>
            </w:r>
          </w:p>
        </w:tc>
        <w:tc>
          <w:tcPr>
            <w:tcW w:w="1503" w:type="dxa"/>
          </w:tcPr>
          <w:p w14:paraId="083C85F1" w14:textId="77777777" w:rsidR="004E2D8C" w:rsidRPr="008675CA" w:rsidRDefault="004E2D8C" w:rsidP="00F12881">
            <w:pPr>
              <w:pStyle w:val="Style3"/>
            </w:pPr>
            <w:r w:rsidRPr="008675CA">
              <w:t>0.19</w:t>
            </w:r>
          </w:p>
        </w:tc>
      </w:tr>
      <w:tr w:rsidR="004E2D8C" w:rsidRPr="008675CA" w14:paraId="7FE9CECB" w14:textId="77777777" w:rsidTr="00E61C51">
        <w:tc>
          <w:tcPr>
            <w:tcW w:w="552" w:type="dxa"/>
          </w:tcPr>
          <w:p w14:paraId="1DBE5E9C" w14:textId="77777777" w:rsidR="004E2D8C" w:rsidRPr="008675CA" w:rsidRDefault="004E2D8C" w:rsidP="00F12881">
            <w:pPr>
              <w:pStyle w:val="Style3"/>
            </w:pPr>
            <w:r w:rsidRPr="008675CA">
              <w:t>7</w:t>
            </w:r>
          </w:p>
        </w:tc>
        <w:tc>
          <w:tcPr>
            <w:tcW w:w="1824" w:type="dxa"/>
          </w:tcPr>
          <w:p w14:paraId="2B4055B9" w14:textId="77777777" w:rsidR="004E2D8C" w:rsidRPr="008675CA" w:rsidRDefault="004E2D8C" w:rsidP="00F12881">
            <w:pPr>
              <w:pStyle w:val="Style3"/>
            </w:pPr>
            <w:r w:rsidRPr="008675CA">
              <w:t>Vehicles</w:t>
            </w:r>
          </w:p>
        </w:tc>
        <w:tc>
          <w:tcPr>
            <w:tcW w:w="1560" w:type="dxa"/>
          </w:tcPr>
          <w:p w14:paraId="5E2565E2" w14:textId="77777777" w:rsidR="004E2D8C" w:rsidRPr="008675CA" w:rsidRDefault="004E2D8C" w:rsidP="00F12881">
            <w:pPr>
              <w:pStyle w:val="Style3"/>
            </w:pPr>
            <w:r w:rsidRPr="008675CA">
              <w:t>0.03</w:t>
            </w:r>
          </w:p>
        </w:tc>
        <w:tc>
          <w:tcPr>
            <w:tcW w:w="1417" w:type="dxa"/>
          </w:tcPr>
          <w:p w14:paraId="5BC27A79" w14:textId="77777777" w:rsidR="004E2D8C" w:rsidRPr="008675CA" w:rsidRDefault="004E2D8C" w:rsidP="00F12881">
            <w:pPr>
              <w:pStyle w:val="Style3"/>
            </w:pPr>
            <w:r w:rsidRPr="008675CA">
              <w:t>-</w:t>
            </w:r>
          </w:p>
        </w:tc>
        <w:tc>
          <w:tcPr>
            <w:tcW w:w="1418" w:type="dxa"/>
          </w:tcPr>
          <w:p w14:paraId="4EE158F6" w14:textId="77777777" w:rsidR="004E2D8C" w:rsidRPr="008675CA" w:rsidRDefault="004E2D8C" w:rsidP="00F12881">
            <w:pPr>
              <w:pStyle w:val="Style3"/>
            </w:pPr>
            <w:r w:rsidRPr="008675CA">
              <w:t>0.03</w:t>
            </w:r>
          </w:p>
        </w:tc>
        <w:tc>
          <w:tcPr>
            <w:tcW w:w="1559" w:type="dxa"/>
          </w:tcPr>
          <w:p w14:paraId="361EA983" w14:textId="77777777" w:rsidR="004E2D8C" w:rsidRPr="008675CA" w:rsidRDefault="004E2D8C" w:rsidP="00F12881">
            <w:pPr>
              <w:pStyle w:val="Style3"/>
            </w:pPr>
            <w:r w:rsidRPr="008675CA">
              <w:t>9.50</w:t>
            </w:r>
          </w:p>
        </w:tc>
        <w:tc>
          <w:tcPr>
            <w:tcW w:w="1503" w:type="dxa"/>
          </w:tcPr>
          <w:p w14:paraId="5159DFC1" w14:textId="77777777" w:rsidR="004E2D8C" w:rsidRPr="008675CA" w:rsidRDefault="004E2D8C" w:rsidP="00F12881">
            <w:pPr>
              <w:pStyle w:val="Style3"/>
            </w:pPr>
            <w:r w:rsidRPr="008675CA">
              <w:t>0.004</w:t>
            </w:r>
          </w:p>
        </w:tc>
      </w:tr>
      <w:tr w:rsidR="004E2D8C" w:rsidRPr="008675CA" w14:paraId="76C20A41" w14:textId="77777777" w:rsidTr="00E61C51">
        <w:trPr>
          <w:trHeight w:val="551"/>
        </w:trPr>
        <w:tc>
          <w:tcPr>
            <w:tcW w:w="552" w:type="dxa"/>
          </w:tcPr>
          <w:p w14:paraId="47AF403A" w14:textId="77777777" w:rsidR="004E2D8C" w:rsidRPr="008675CA" w:rsidRDefault="004E2D8C" w:rsidP="00F12881">
            <w:pPr>
              <w:pStyle w:val="Style3"/>
            </w:pPr>
            <w:r w:rsidRPr="008675CA">
              <w:t>8</w:t>
            </w:r>
          </w:p>
        </w:tc>
        <w:tc>
          <w:tcPr>
            <w:tcW w:w="1824" w:type="dxa"/>
          </w:tcPr>
          <w:p w14:paraId="293FBBED" w14:textId="77777777" w:rsidR="004E2D8C" w:rsidRPr="008675CA" w:rsidRDefault="004E2D8C" w:rsidP="00F12881">
            <w:pPr>
              <w:pStyle w:val="Style3"/>
            </w:pPr>
            <w:r w:rsidRPr="008675CA">
              <w:t>Furniture &amp; Fixtures</w:t>
            </w:r>
          </w:p>
        </w:tc>
        <w:tc>
          <w:tcPr>
            <w:tcW w:w="1560" w:type="dxa"/>
          </w:tcPr>
          <w:p w14:paraId="0D19382F" w14:textId="77777777" w:rsidR="004E2D8C" w:rsidRPr="008675CA" w:rsidRDefault="004E2D8C" w:rsidP="00F12881">
            <w:pPr>
              <w:pStyle w:val="Style3"/>
            </w:pPr>
            <w:r w:rsidRPr="008675CA">
              <w:t>0.08</w:t>
            </w:r>
          </w:p>
        </w:tc>
        <w:tc>
          <w:tcPr>
            <w:tcW w:w="1417" w:type="dxa"/>
          </w:tcPr>
          <w:p w14:paraId="1B8D28AF" w14:textId="77777777" w:rsidR="004E2D8C" w:rsidRPr="008675CA" w:rsidRDefault="004E2D8C" w:rsidP="00F12881">
            <w:pPr>
              <w:pStyle w:val="Style3"/>
            </w:pPr>
            <w:r w:rsidRPr="008675CA">
              <w:t>-</w:t>
            </w:r>
          </w:p>
        </w:tc>
        <w:tc>
          <w:tcPr>
            <w:tcW w:w="1418" w:type="dxa"/>
          </w:tcPr>
          <w:p w14:paraId="115E919A" w14:textId="77777777" w:rsidR="004E2D8C" w:rsidRPr="008675CA" w:rsidRDefault="004E2D8C" w:rsidP="00F12881">
            <w:pPr>
              <w:pStyle w:val="Style3"/>
            </w:pPr>
            <w:r w:rsidRPr="008675CA">
              <w:t>0.08</w:t>
            </w:r>
          </w:p>
        </w:tc>
        <w:tc>
          <w:tcPr>
            <w:tcW w:w="1559" w:type="dxa"/>
          </w:tcPr>
          <w:p w14:paraId="7404741E" w14:textId="77777777" w:rsidR="004E2D8C" w:rsidRPr="008675CA" w:rsidRDefault="004E2D8C" w:rsidP="00F12881">
            <w:pPr>
              <w:pStyle w:val="Style3"/>
            </w:pPr>
            <w:r w:rsidRPr="008675CA">
              <w:t>6.33</w:t>
            </w:r>
          </w:p>
        </w:tc>
        <w:tc>
          <w:tcPr>
            <w:tcW w:w="1503" w:type="dxa"/>
          </w:tcPr>
          <w:p w14:paraId="69E7A56C" w14:textId="77777777" w:rsidR="004E2D8C" w:rsidRPr="008675CA" w:rsidRDefault="004E2D8C" w:rsidP="00F12881">
            <w:pPr>
              <w:pStyle w:val="Style3"/>
            </w:pPr>
            <w:r w:rsidRPr="008675CA">
              <w:t>0.005</w:t>
            </w:r>
          </w:p>
        </w:tc>
      </w:tr>
      <w:tr w:rsidR="004E2D8C" w:rsidRPr="008675CA" w14:paraId="0E7BC738" w14:textId="77777777" w:rsidTr="00E61C51">
        <w:trPr>
          <w:trHeight w:val="313"/>
        </w:trPr>
        <w:tc>
          <w:tcPr>
            <w:tcW w:w="552" w:type="dxa"/>
          </w:tcPr>
          <w:p w14:paraId="0D1060A5" w14:textId="77777777" w:rsidR="004E2D8C" w:rsidRPr="008675CA" w:rsidRDefault="004E2D8C" w:rsidP="00F12881">
            <w:pPr>
              <w:pStyle w:val="Style3"/>
            </w:pPr>
            <w:r w:rsidRPr="008675CA">
              <w:t>9</w:t>
            </w:r>
          </w:p>
        </w:tc>
        <w:tc>
          <w:tcPr>
            <w:tcW w:w="1824" w:type="dxa"/>
          </w:tcPr>
          <w:p w14:paraId="48584553" w14:textId="77777777" w:rsidR="004E2D8C" w:rsidRPr="008675CA" w:rsidRDefault="004E2D8C" w:rsidP="00F12881">
            <w:pPr>
              <w:pStyle w:val="Style3"/>
            </w:pPr>
            <w:r w:rsidRPr="008675CA">
              <w:t>Office Equipment</w:t>
            </w:r>
          </w:p>
        </w:tc>
        <w:tc>
          <w:tcPr>
            <w:tcW w:w="1560" w:type="dxa"/>
          </w:tcPr>
          <w:p w14:paraId="7D686182" w14:textId="77777777" w:rsidR="004E2D8C" w:rsidRPr="008675CA" w:rsidRDefault="004E2D8C" w:rsidP="00F12881">
            <w:pPr>
              <w:pStyle w:val="Style3"/>
            </w:pPr>
            <w:r w:rsidRPr="008675CA">
              <w:t>0.02</w:t>
            </w:r>
          </w:p>
        </w:tc>
        <w:tc>
          <w:tcPr>
            <w:tcW w:w="1417" w:type="dxa"/>
          </w:tcPr>
          <w:p w14:paraId="2871A8B2" w14:textId="77777777" w:rsidR="004E2D8C" w:rsidRPr="008675CA" w:rsidRDefault="004E2D8C" w:rsidP="00F12881">
            <w:pPr>
              <w:pStyle w:val="Style3"/>
            </w:pPr>
            <w:r w:rsidRPr="008675CA">
              <w:t>-</w:t>
            </w:r>
          </w:p>
        </w:tc>
        <w:tc>
          <w:tcPr>
            <w:tcW w:w="1418" w:type="dxa"/>
          </w:tcPr>
          <w:p w14:paraId="2B6180DE" w14:textId="77777777" w:rsidR="004E2D8C" w:rsidRPr="008675CA" w:rsidRDefault="004E2D8C" w:rsidP="00F12881">
            <w:pPr>
              <w:pStyle w:val="Style3"/>
            </w:pPr>
            <w:r w:rsidRPr="008675CA">
              <w:t>0.02</w:t>
            </w:r>
          </w:p>
        </w:tc>
        <w:tc>
          <w:tcPr>
            <w:tcW w:w="1559" w:type="dxa"/>
          </w:tcPr>
          <w:p w14:paraId="56999412" w14:textId="77777777" w:rsidR="004E2D8C" w:rsidRPr="008675CA" w:rsidRDefault="004E2D8C" w:rsidP="00F12881">
            <w:pPr>
              <w:pStyle w:val="Style3"/>
            </w:pPr>
            <w:r w:rsidRPr="008675CA">
              <w:t>6.33</w:t>
            </w:r>
          </w:p>
        </w:tc>
        <w:tc>
          <w:tcPr>
            <w:tcW w:w="1503" w:type="dxa"/>
          </w:tcPr>
          <w:p w14:paraId="5CD2650F" w14:textId="77777777" w:rsidR="004E2D8C" w:rsidRPr="008675CA" w:rsidRDefault="004E2D8C" w:rsidP="00F12881">
            <w:pPr>
              <w:pStyle w:val="Style3"/>
            </w:pPr>
            <w:r w:rsidRPr="008675CA">
              <w:t>0.0012</w:t>
            </w:r>
          </w:p>
        </w:tc>
      </w:tr>
      <w:tr w:rsidR="004E2D8C" w:rsidRPr="008675CA" w14:paraId="78AB27C0" w14:textId="77777777" w:rsidTr="00E61C51">
        <w:tc>
          <w:tcPr>
            <w:tcW w:w="552" w:type="dxa"/>
          </w:tcPr>
          <w:p w14:paraId="3D966FDC" w14:textId="77777777" w:rsidR="004E2D8C" w:rsidRPr="008675CA" w:rsidRDefault="004E2D8C" w:rsidP="00F12881">
            <w:pPr>
              <w:pStyle w:val="Style3"/>
            </w:pPr>
            <w:r w:rsidRPr="008675CA">
              <w:t>10</w:t>
            </w:r>
          </w:p>
        </w:tc>
        <w:tc>
          <w:tcPr>
            <w:tcW w:w="1824" w:type="dxa"/>
          </w:tcPr>
          <w:p w14:paraId="4F4E0D75" w14:textId="77777777" w:rsidR="004E2D8C" w:rsidRPr="008675CA" w:rsidRDefault="004E2D8C" w:rsidP="00F12881">
            <w:pPr>
              <w:pStyle w:val="Style3"/>
            </w:pPr>
            <w:r w:rsidRPr="008675CA">
              <w:t>Assets not in use</w:t>
            </w:r>
          </w:p>
        </w:tc>
        <w:tc>
          <w:tcPr>
            <w:tcW w:w="1560" w:type="dxa"/>
          </w:tcPr>
          <w:p w14:paraId="006726BC" w14:textId="77777777" w:rsidR="004E2D8C" w:rsidRPr="008675CA" w:rsidRDefault="004E2D8C" w:rsidP="00F12881">
            <w:pPr>
              <w:pStyle w:val="Style3"/>
            </w:pPr>
            <w:r w:rsidRPr="008675CA">
              <w:t>-</w:t>
            </w:r>
          </w:p>
        </w:tc>
        <w:tc>
          <w:tcPr>
            <w:tcW w:w="1417" w:type="dxa"/>
          </w:tcPr>
          <w:p w14:paraId="1045BCFC" w14:textId="77777777" w:rsidR="004E2D8C" w:rsidRPr="008675CA" w:rsidRDefault="004E2D8C" w:rsidP="00F12881">
            <w:pPr>
              <w:pStyle w:val="Style3"/>
            </w:pPr>
            <w:r w:rsidRPr="008675CA">
              <w:t>-</w:t>
            </w:r>
          </w:p>
        </w:tc>
        <w:tc>
          <w:tcPr>
            <w:tcW w:w="1418" w:type="dxa"/>
          </w:tcPr>
          <w:p w14:paraId="5E6FDC59" w14:textId="77777777" w:rsidR="004E2D8C" w:rsidRPr="008675CA" w:rsidRDefault="004E2D8C" w:rsidP="00F12881">
            <w:pPr>
              <w:pStyle w:val="Style3"/>
            </w:pPr>
            <w:r w:rsidRPr="008675CA">
              <w:t>-</w:t>
            </w:r>
          </w:p>
        </w:tc>
        <w:tc>
          <w:tcPr>
            <w:tcW w:w="1559" w:type="dxa"/>
          </w:tcPr>
          <w:p w14:paraId="04653183" w14:textId="77777777" w:rsidR="004E2D8C" w:rsidRPr="008675CA" w:rsidRDefault="004E2D8C" w:rsidP="00F12881">
            <w:pPr>
              <w:pStyle w:val="Style3"/>
            </w:pPr>
            <w:r w:rsidRPr="008675CA">
              <w:t>-</w:t>
            </w:r>
          </w:p>
        </w:tc>
        <w:tc>
          <w:tcPr>
            <w:tcW w:w="1503" w:type="dxa"/>
          </w:tcPr>
          <w:p w14:paraId="392918DA" w14:textId="77777777" w:rsidR="004E2D8C" w:rsidRPr="008675CA" w:rsidRDefault="004E2D8C" w:rsidP="00F12881">
            <w:pPr>
              <w:pStyle w:val="Style3"/>
            </w:pPr>
            <w:r w:rsidRPr="008675CA">
              <w:t>-</w:t>
            </w:r>
          </w:p>
        </w:tc>
      </w:tr>
      <w:tr w:rsidR="004E2D8C" w:rsidRPr="008675CA" w14:paraId="0B7750F7" w14:textId="77777777" w:rsidTr="00E61C51">
        <w:tc>
          <w:tcPr>
            <w:tcW w:w="552" w:type="dxa"/>
          </w:tcPr>
          <w:p w14:paraId="5920F8AB" w14:textId="77777777" w:rsidR="004E2D8C" w:rsidRPr="008675CA" w:rsidRDefault="004E2D8C" w:rsidP="00F12881">
            <w:pPr>
              <w:pStyle w:val="Style3"/>
            </w:pPr>
            <w:r w:rsidRPr="008675CA">
              <w:t>11</w:t>
            </w:r>
          </w:p>
        </w:tc>
        <w:tc>
          <w:tcPr>
            <w:tcW w:w="1824" w:type="dxa"/>
          </w:tcPr>
          <w:p w14:paraId="60F0A524" w14:textId="77777777" w:rsidR="004E2D8C" w:rsidRPr="009D2265" w:rsidRDefault="004E2D8C" w:rsidP="00F12881">
            <w:pPr>
              <w:pStyle w:val="Style3"/>
            </w:pPr>
            <w:r w:rsidRPr="009D2265">
              <w:t xml:space="preserve">Total </w:t>
            </w:r>
          </w:p>
        </w:tc>
        <w:tc>
          <w:tcPr>
            <w:tcW w:w="1560" w:type="dxa"/>
            <w:vAlign w:val="center"/>
          </w:tcPr>
          <w:p w14:paraId="0AFC3AEF" w14:textId="77777777" w:rsidR="004E2D8C" w:rsidRPr="009D2265" w:rsidRDefault="004E2D8C" w:rsidP="009D2265">
            <w:pPr>
              <w:jc w:val="both"/>
              <w:rPr>
                <w:rFonts w:asciiTheme="majorHAnsi" w:hAnsiTheme="majorHAnsi"/>
                <w:b/>
                <w:color w:val="000000"/>
              </w:rPr>
            </w:pPr>
            <w:r w:rsidRPr="009D2265">
              <w:rPr>
                <w:rFonts w:asciiTheme="majorHAnsi" w:hAnsiTheme="majorHAnsi"/>
                <w:b/>
                <w:color w:val="000000"/>
                <w:lang w:val="en-GB"/>
              </w:rPr>
              <w:t>604.12</w:t>
            </w:r>
          </w:p>
        </w:tc>
        <w:tc>
          <w:tcPr>
            <w:tcW w:w="1417" w:type="dxa"/>
            <w:vAlign w:val="center"/>
          </w:tcPr>
          <w:p w14:paraId="096DA909" w14:textId="77777777" w:rsidR="004E2D8C" w:rsidRPr="009D2265" w:rsidRDefault="004E2D8C" w:rsidP="009D2265">
            <w:pPr>
              <w:jc w:val="both"/>
              <w:rPr>
                <w:rFonts w:asciiTheme="majorHAnsi" w:hAnsiTheme="majorHAnsi"/>
                <w:b/>
                <w:color w:val="000000"/>
              </w:rPr>
            </w:pPr>
            <w:r w:rsidRPr="009D2265">
              <w:rPr>
                <w:rFonts w:asciiTheme="majorHAnsi" w:hAnsiTheme="majorHAnsi"/>
                <w:b/>
                <w:color w:val="000000"/>
                <w:lang w:val="en-GB"/>
              </w:rPr>
              <w:t>1.255</w:t>
            </w:r>
          </w:p>
        </w:tc>
        <w:tc>
          <w:tcPr>
            <w:tcW w:w="1418" w:type="dxa"/>
            <w:vAlign w:val="center"/>
          </w:tcPr>
          <w:p w14:paraId="4EFA7950" w14:textId="77777777" w:rsidR="004E2D8C" w:rsidRPr="009D2265" w:rsidRDefault="004E2D8C" w:rsidP="009D2265">
            <w:pPr>
              <w:jc w:val="both"/>
              <w:rPr>
                <w:rFonts w:asciiTheme="majorHAnsi" w:hAnsiTheme="majorHAnsi"/>
                <w:b/>
                <w:color w:val="000000"/>
              </w:rPr>
            </w:pPr>
            <w:r w:rsidRPr="009D2265">
              <w:rPr>
                <w:rFonts w:asciiTheme="majorHAnsi" w:hAnsiTheme="majorHAnsi"/>
                <w:b/>
                <w:color w:val="000000"/>
                <w:lang w:val="en-GB"/>
              </w:rPr>
              <w:t>605.38</w:t>
            </w:r>
          </w:p>
        </w:tc>
        <w:tc>
          <w:tcPr>
            <w:tcW w:w="1559" w:type="dxa"/>
            <w:vAlign w:val="center"/>
          </w:tcPr>
          <w:p w14:paraId="7A0CD0FE" w14:textId="77777777" w:rsidR="004E2D8C" w:rsidRPr="009D2265" w:rsidRDefault="004E2D8C" w:rsidP="009D2265">
            <w:pPr>
              <w:jc w:val="both"/>
              <w:rPr>
                <w:rFonts w:asciiTheme="majorHAnsi" w:hAnsiTheme="majorHAnsi"/>
                <w:b/>
                <w:color w:val="000000"/>
              </w:rPr>
            </w:pPr>
            <w:r w:rsidRPr="009D2265">
              <w:rPr>
                <w:rFonts w:asciiTheme="majorHAnsi" w:hAnsiTheme="majorHAnsi"/>
                <w:b/>
                <w:color w:val="000000"/>
                <w:lang w:val="en-GB"/>
              </w:rPr>
              <w:t>39.4</w:t>
            </w:r>
          </w:p>
        </w:tc>
        <w:tc>
          <w:tcPr>
            <w:tcW w:w="1503" w:type="dxa"/>
            <w:vAlign w:val="center"/>
          </w:tcPr>
          <w:p w14:paraId="58BAA5CB" w14:textId="77777777" w:rsidR="004E2D8C" w:rsidRPr="009D2265" w:rsidRDefault="004E2D8C" w:rsidP="009D2265">
            <w:pPr>
              <w:jc w:val="both"/>
              <w:rPr>
                <w:rFonts w:asciiTheme="majorHAnsi" w:hAnsiTheme="majorHAnsi"/>
                <w:b/>
                <w:color w:val="000000"/>
              </w:rPr>
            </w:pPr>
            <w:r w:rsidRPr="009D2265">
              <w:rPr>
                <w:rFonts w:asciiTheme="majorHAnsi" w:hAnsiTheme="majorHAnsi"/>
                <w:b/>
                <w:color w:val="000000"/>
                <w:lang w:val="en-GB"/>
              </w:rPr>
              <w:t>29.38</w:t>
            </w:r>
          </w:p>
        </w:tc>
      </w:tr>
    </w:tbl>
    <w:p w14:paraId="7B69BCA3" w14:textId="77777777" w:rsidR="001D3964" w:rsidRPr="008675CA" w:rsidRDefault="001D3964" w:rsidP="00F12881">
      <w:pPr>
        <w:pStyle w:val="Style3"/>
      </w:pPr>
      <w:r w:rsidRPr="008675CA">
        <w:t xml:space="preserve">The Hon’ble Commission approved the depreciation for FY 2020-21 as Rs.25.66 Cr </w:t>
      </w:r>
      <w:r w:rsidR="009D2265">
        <w:t>(</w:t>
      </w:r>
      <w:r w:rsidRPr="008675CA">
        <w:t>table 28</w:t>
      </w:r>
      <w:r w:rsidR="009D2265">
        <w:t>)</w:t>
      </w:r>
      <w:r w:rsidRPr="008675CA">
        <w:t xml:space="preserve"> of the True up order. Therefore, MePGCL request the Hon’ble Commission to consider the depreciation rate at Rs. 29.38 Cr.</w:t>
      </w:r>
      <w:r w:rsidR="001319A1" w:rsidRPr="008675CA">
        <w:t xml:space="preserve"> with a gap of Rs.3.72 Cr.</w:t>
      </w:r>
    </w:p>
    <w:p w14:paraId="2276C02A" w14:textId="77777777" w:rsidR="001D3964" w:rsidRPr="008675CA" w:rsidRDefault="001D3964" w:rsidP="00F12881">
      <w:pPr>
        <w:pStyle w:val="Style3"/>
      </w:pPr>
    </w:p>
    <w:p w14:paraId="40B6C3FB" w14:textId="77777777" w:rsidR="00DA77FC" w:rsidRDefault="00372DCD" w:rsidP="00F12881">
      <w:pPr>
        <w:pStyle w:val="Style3"/>
      </w:pPr>
      <w:r w:rsidRPr="008675CA">
        <w:t>2</w:t>
      </w:r>
      <w:r w:rsidR="005F33B8" w:rsidRPr="008675CA">
        <w:t>.3.3</w:t>
      </w:r>
      <w:r w:rsidR="00EC3BC5" w:rsidRPr="008675CA">
        <w:t xml:space="preserve"> </w:t>
      </w:r>
      <w:r w:rsidR="00DA77FC" w:rsidRPr="008675CA">
        <w:t xml:space="preserve">Return on Equity </w:t>
      </w:r>
    </w:p>
    <w:p w14:paraId="73BFA031" w14:textId="77777777" w:rsidR="00E61C51" w:rsidRPr="008675CA" w:rsidRDefault="00E61C51" w:rsidP="00F12881">
      <w:pPr>
        <w:pStyle w:val="Style3"/>
      </w:pPr>
    </w:p>
    <w:p w14:paraId="31A60ED5" w14:textId="77777777" w:rsidR="00EC3BC5" w:rsidRPr="00671A27" w:rsidRDefault="00DA77FC" w:rsidP="00F12881">
      <w:pPr>
        <w:pStyle w:val="Style3"/>
      </w:pPr>
      <w:r w:rsidRPr="00671A27">
        <w:t xml:space="preserve">The Hon’ble Commission approved the RoE for FY </w:t>
      </w:r>
      <w:r w:rsidR="00FC11E3" w:rsidRPr="00671A27">
        <w:t>2020-21</w:t>
      </w:r>
      <w:r w:rsidRPr="00671A27">
        <w:t xml:space="preserve"> as </w:t>
      </w:r>
      <w:r w:rsidR="00FC11E3" w:rsidRPr="00671A27">
        <w:t>Rs.20.76</w:t>
      </w:r>
      <w:r w:rsidRPr="00671A27">
        <w:t xml:space="preserve"> Cr. The Equity amount requested from the Hon’ble Commission to be considered is </w:t>
      </w:r>
      <w:r w:rsidR="00FC11E3" w:rsidRPr="00671A27">
        <w:t>Rs.</w:t>
      </w:r>
      <w:r w:rsidRPr="00671A27">
        <w:t xml:space="preserve"> 164.59 Cr. Therefore, the ROE approved by the Hon’ble Commission in the order (table 30) is erroneous. MePGCL request the Hon’ble Commission to kindly review the RoE</w:t>
      </w:r>
      <w:r w:rsidR="00EC3BC5" w:rsidRPr="00671A27">
        <w:t xml:space="preserve"> </w:t>
      </w:r>
      <w:r w:rsidR="00FC11E3" w:rsidRPr="00671A27">
        <w:t xml:space="preserve">of </w:t>
      </w:r>
      <w:r w:rsidRPr="00671A27">
        <w:t>R</w:t>
      </w:r>
      <w:r w:rsidR="00FC11E3" w:rsidRPr="00671A27">
        <w:t>s.</w:t>
      </w:r>
      <w:r w:rsidRPr="00671A27">
        <w:t xml:space="preserve"> </w:t>
      </w:r>
      <w:r w:rsidR="00FC11E3" w:rsidRPr="00671A27">
        <w:t>23.04</w:t>
      </w:r>
      <w:r w:rsidRPr="00671A27">
        <w:t xml:space="preserve"> Cr. for FY </w:t>
      </w:r>
      <w:r w:rsidR="00FC11E3" w:rsidRPr="00671A27">
        <w:t>2020-21</w:t>
      </w:r>
      <w:r w:rsidR="00EC3BC5" w:rsidRPr="00671A27">
        <w:t xml:space="preserve"> as shown in the table below:</w:t>
      </w:r>
    </w:p>
    <w:p w14:paraId="21BE8E04" w14:textId="6C5B35E7" w:rsidR="00EC3BC5" w:rsidRPr="008675CA" w:rsidRDefault="00EC3BC5" w:rsidP="00EC3BC5">
      <w:pPr>
        <w:pStyle w:val="head2"/>
        <w:spacing w:before="0" w:after="0"/>
        <w:ind w:left="504" w:firstLine="0"/>
        <w:jc w:val="center"/>
        <w:rPr>
          <w:rFonts w:asciiTheme="majorHAnsi" w:eastAsia="Times New Roman" w:hAnsiTheme="majorHAnsi" w:cs="Times New Roman"/>
          <w:bCs w:val="0"/>
          <w:lang w:val="en-GB"/>
        </w:rPr>
      </w:pPr>
      <w:r w:rsidRPr="008675CA">
        <w:rPr>
          <w:rFonts w:asciiTheme="majorHAnsi" w:eastAsia="Times New Roman" w:hAnsiTheme="majorHAnsi" w:cs="Times New Roman"/>
          <w:bCs w:val="0"/>
          <w:lang w:val="en-GB"/>
        </w:rPr>
        <w:t>Table</w:t>
      </w:r>
      <w:r w:rsidR="00D6100A">
        <w:rPr>
          <w:rFonts w:asciiTheme="majorHAnsi" w:eastAsia="Times New Roman" w:hAnsiTheme="majorHAnsi" w:cs="Times New Roman"/>
          <w:bCs w:val="0"/>
          <w:lang w:val="en-GB"/>
        </w:rPr>
        <w:t xml:space="preserve"> 1</w:t>
      </w:r>
      <w:r w:rsidR="003A4ABE">
        <w:rPr>
          <w:rFonts w:asciiTheme="majorHAnsi" w:eastAsia="Times New Roman" w:hAnsiTheme="majorHAnsi" w:cs="Times New Roman"/>
          <w:bCs w:val="0"/>
          <w:lang w:val="en-GB"/>
        </w:rPr>
        <w:t>1</w:t>
      </w:r>
      <w:r w:rsidRPr="008675CA">
        <w:rPr>
          <w:rFonts w:asciiTheme="majorHAnsi" w:eastAsia="Times New Roman" w:hAnsiTheme="majorHAnsi" w:cs="Times New Roman"/>
          <w:bCs w:val="0"/>
          <w:lang w:val="en-GB"/>
        </w:rPr>
        <w:t xml:space="preserve">: Computation of RoE for NUHEP for FY </w:t>
      </w:r>
      <w:r w:rsidR="00FC11E3" w:rsidRPr="008675CA">
        <w:rPr>
          <w:rFonts w:asciiTheme="majorHAnsi" w:eastAsia="Times New Roman" w:hAnsiTheme="majorHAnsi" w:cs="Times New Roman"/>
          <w:bCs w:val="0"/>
          <w:lang w:val="en-GB"/>
        </w:rPr>
        <w:t>2020-21 (</w:t>
      </w:r>
      <w:r w:rsidRPr="008675CA">
        <w:rPr>
          <w:rFonts w:asciiTheme="majorHAnsi" w:eastAsia="Times New Roman" w:hAnsiTheme="majorHAnsi" w:cs="Times New Roman"/>
          <w:bCs w:val="0"/>
          <w:lang w:val="en-GB"/>
        </w:rPr>
        <w:t>R</w:t>
      </w:r>
      <w:r w:rsidR="00FC11E3" w:rsidRPr="008675CA">
        <w:rPr>
          <w:rFonts w:asciiTheme="majorHAnsi" w:eastAsia="Times New Roman" w:hAnsiTheme="majorHAnsi" w:cs="Times New Roman"/>
          <w:bCs w:val="0"/>
          <w:lang w:val="en-GB"/>
        </w:rPr>
        <w:t>s.</w:t>
      </w:r>
      <w:r w:rsidRPr="008675CA">
        <w:rPr>
          <w:rFonts w:asciiTheme="majorHAnsi" w:eastAsia="Times New Roman" w:hAnsiTheme="majorHAnsi" w:cs="Times New Roman"/>
          <w:bCs w:val="0"/>
          <w:lang w:val="en-GB"/>
        </w:rPr>
        <w:t xml:space="preserve"> in CR.)</w:t>
      </w:r>
    </w:p>
    <w:tbl>
      <w:tblPr>
        <w:tblStyle w:val="TableGrid"/>
        <w:tblW w:w="0" w:type="auto"/>
        <w:tblInd w:w="250" w:type="dxa"/>
        <w:tblLook w:val="04A0" w:firstRow="1" w:lastRow="0" w:firstColumn="1" w:lastColumn="0" w:noHBand="0" w:noVBand="1"/>
      </w:tblPr>
      <w:tblGrid>
        <w:gridCol w:w="851"/>
        <w:gridCol w:w="5516"/>
        <w:gridCol w:w="3216"/>
      </w:tblGrid>
      <w:tr w:rsidR="00EC3BC5" w:rsidRPr="008675CA" w14:paraId="0EAA2E83" w14:textId="77777777" w:rsidTr="00FC11E3">
        <w:tc>
          <w:tcPr>
            <w:tcW w:w="851" w:type="dxa"/>
          </w:tcPr>
          <w:p w14:paraId="265AE481" w14:textId="77777777" w:rsidR="00EC3BC5" w:rsidRPr="00201045" w:rsidRDefault="00EC3BC5" w:rsidP="00F12881">
            <w:pPr>
              <w:pStyle w:val="Style3"/>
            </w:pPr>
            <w:r w:rsidRPr="00201045">
              <w:t>Sl No</w:t>
            </w:r>
          </w:p>
        </w:tc>
        <w:tc>
          <w:tcPr>
            <w:tcW w:w="5516" w:type="dxa"/>
          </w:tcPr>
          <w:p w14:paraId="07FCF36C" w14:textId="77777777" w:rsidR="00EC3BC5" w:rsidRPr="00201045" w:rsidRDefault="00EC3BC5" w:rsidP="00F12881">
            <w:pPr>
              <w:pStyle w:val="Style3"/>
            </w:pPr>
            <w:r w:rsidRPr="00201045">
              <w:t>Particulars</w:t>
            </w:r>
          </w:p>
        </w:tc>
        <w:tc>
          <w:tcPr>
            <w:tcW w:w="3216" w:type="dxa"/>
          </w:tcPr>
          <w:p w14:paraId="0E131F73" w14:textId="77777777" w:rsidR="00EC3BC5" w:rsidRPr="00201045" w:rsidRDefault="00EC3BC5" w:rsidP="00F12881">
            <w:pPr>
              <w:pStyle w:val="Style3"/>
            </w:pPr>
            <w:r w:rsidRPr="00201045">
              <w:t>Amount</w:t>
            </w:r>
          </w:p>
        </w:tc>
      </w:tr>
      <w:tr w:rsidR="00EC3BC5" w:rsidRPr="008675CA" w14:paraId="48B56C50" w14:textId="77777777" w:rsidTr="00FC11E3">
        <w:tc>
          <w:tcPr>
            <w:tcW w:w="851" w:type="dxa"/>
          </w:tcPr>
          <w:p w14:paraId="31C6FFC1" w14:textId="77777777" w:rsidR="00EC3BC5" w:rsidRPr="008675CA" w:rsidRDefault="00EC3BC5" w:rsidP="00F12881">
            <w:pPr>
              <w:pStyle w:val="Style3"/>
            </w:pPr>
            <w:r w:rsidRPr="008675CA">
              <w:lastRenderedPageBreak/>
              <w:t>1</w:t>
            </w:r>
          </w:p>
        </w:tc>
        <w:tc>
          <w:tcPr>
            <w:tcW w:w="5516" w:type="dxa"/>
          </w:tcPr>
          <w:p w14:paraId="3A4E5060" w14:textId="77777777" w:rsidR="00EC3BC5" w:rsidRPr="008675CA" w:rsidRDefault="00EC3BC5" w:rsidP="00FC11E3">
            <w:pPr>
              <w:rPr>
                <w:rFonts w:asciiTheme="majorHAnsi" w:hAnsiTheme="majorHAnsi"/>
              </w:rPr>
            </w:pPr>
            <w:r w:rsidRPr="008675CA">
              <w:rPr>
                <w:rFonts w:asciiTheme="majorHAnsi" w:hAnsiTheme="majorHAnsi"/>
              </w:rPr>
              <w:t xml:space="preserve">Equity contributions by Govt. </w:t>
            </w:r>
          </w:p>
        </w:tc>
        <w:tc>
          <w:tcPr>
            <w:tcW w:w="3216" w:type="dxa"/>
          </w:tcPr>
          <w:p w14:paraId="696E54BB" w14:textId="77777777" w:rsidR="00EC3BC5" w:rsidRPr="008675CA" w:rsidRDefault="00EC3BC5" w:rsidP="00F12881">
            <w:pPr>
              <w:pStyle w:val="Style3"/>
            </w:pPr>
            <w:r w:rsidRPr="008675CA">
              <w:t>164.59</w:t>
            </w:r>
          </w:p>
        </w:tc>
      </w:tr>
      <w:tr w:rsidR="003E74B7" w:rsidRPr="008675CA" w14:paraId="56F23548" w14:textId="77777777" w:rsidTr="00FC11E3">
        <w:tc>
          <w:tcPr>
            <w:tcW w:w="851" w:type="dxa"/>
          </w:tcPr>
          <w:p w14:paraId="730925DB" w14:textId="77777777" w:rsidR="003E74B7" w:rsidRPr="008675CA" w:rsidRDefault="003E74B7" w:rsidP="00F12881">
            <w:pPr>
              <w:pStyle w:val="Style3"/>
            </w:pPr>
            <w:r w:rsidRPr="008675CA">
              <w:t>2</w:t>
            </w:r>
          </w:p>
        </w:tc>
        <w:tc>
          <w:tcPr>
            <w:tcW w:w="5516" w:type="dxa"/>
          </w:tcPr>
          <w:p w14:paraId="40FE38DF" w14:textId="77777777" w:rsidR="003E74B7" w:rsidRPr="008675CA" w:rsidRDefault="00FC11E3" w:rsidP="00FC11E3">
            <w:pPr>
              <w:rPr>
                <w:rFonts w:asciiTheme="majorHAnsi" w:hAnsiTheme="majorHAnsi"/>
              </w:rPr>
            </w:pPr>
            <w:r w:rsidRPr="008675CA">
              <w:rPr>
                <w:rFonts w:asciiTheme="majorHAnsi" w:hAnsiTheme="majorHAnsi"/>
              </w:rPr>
              <w:t>30% of Capital cost (30% of 605)</w:t>
            </w:r>
          </w:p>
        </w:tc>
        <w:tc>
          <w:tcPr>
            <w:tcW w:w="3216" w:type="dxa"/>
          </w:tcPr>
          <w:p w14:paraId="73D895A8" w14:textId="77777777" w:rsidR="003E74B7" w:rsidRPr="008675CA" w:rsidRDefault="00FC11E3" w:rsidP="00F12881">
            <w:pPr>
              <w:pStyle w:val="Style3"/>
            </w:pPr>
            <w:r w:rsidRPr="008675CA">
              <w:t>181.5</w:t>
            </w:r>
          </w:p>
        </w:tc>
      </w:tr>
      <w:tr w:rsidR="003E74B7" w:rsidRPr="008675CA" w14:paraId="0680CC37" w14:textId="77777777" w:rsidTr="00FC11E3">
        <w:tc>
          <w:tcPr>
            <w:tcW w:w="851" w:type="dxa"/>
          </w:tcPr>
          <w:p w14:paraId="24F2F0B0" w14:textId="77777777" w:rsidR="003E74B7" w:rsidRPr="008675CA" w:rsidRDefault="003E74B7" w:rsidP="00F12881">
            <w:pPr>
              <w:pStyle w:val="Style3"/>
            </w:pPr>
            <w:r w:rsidRPr="008675CA">
              <w:t>3</w:t>
            </w:r>
          </w:p>
        </w:tc>
        <w:tc>
          <w:tcPr>
            <w:tcW w:w="5516" w:type="dxa"/>
          </w:tcPr>
          <w:p w14:paraId="17084823" w14:textId="77777777" w:rsidR="003E74B7" w:rsidRPr="008675CA" w:rsidRDefault="003E74B7" w:rsidP="00EC3BC5">
            <w:pPr>
              <w:rPr>
                <w:rFonts w:asciiTheme="majorHAnsi" w:hAnsiTheme="majorHAnsi"/>
              </w:rPr>
            </w:pPr>
            <w:r w:rsidRPr="008675CA">
              <w:rPr>
                <w:rFonts w:asciiTheme="majorHAnsi" w:hAnsiTheme="majorHAnsi"/>
              </w:rPr>
              <w:t>Equity</w:t>
            </w:r>
            <w:r w:rsidR="00FC11E3" w:rsidRPr="008675CA">
              <w:rPr>
                <w:rFonts w:asciiTheme="majorHAnsi" w:hAnsiTheme="majorHAnsi"/>
              </w:rPr>
              <w:t xml:space="preserve"> to be considered</w:t>
            </w:r>
          </w:p>
        </w:tc>
        <w:tc>
          <w:tcPr>
            <w:tcW w:w="3216" w:type="dxa"/>
          </w:tcPr>
          <w:p w14:paraId="33C42308" w14:textId="77777777" w:rsidR="003E74B7" w:rsidRPr="008675CA" w:rsidRDefault="00FC11E3" w:rsidP="00F12881">
            <w:pPr>
              <w:pStyle w:val="Style3"/>
            </w:pPr>
            <w:r w:rsidRPr="008675CA">
              <w:t>164.59</w:t>
            </w:r>
          </w:p>
        </w:tc>
      </w:tr>
      <w:tr w:rsidR="003E74B7" w:rsidRPr="008675CA" w14:paraId="6A950767" w14:textId="77777777" w:rsidTr="00FC11E3">
        <w:tc>
          <w:tcPr>
            <w:tcW w:w="851" w:type="dxa"/>
          </w:tcPr>
          <w:p w14:paraId="16271973" w14:textId="77777777" w:rsidR="003E74B7" w:rsidRPr="008675CA" w:rsidRDefault="003E74B7" w:rsidP="00F12881">
            <w:pPr>
              <w:pStyle w:val="Style3"/>
            </w:pPr>
            <w:r w:rsidRPr="008675CA">
              <w:t>4</w:t>
            </w:r>
          </w:p>
        </w:tc>
        <w:tc>
          <w:tcPr>
            <w:tcW w:w="5516" w:type="dxa"/>
          </w:tcPr>
          <w:p w14:paraId="7507FE7B" w14:textId="77777777" w:rsidR="003E74B7" w:rsidRPr="008675CA" w:rsidRDefault="003E74B7" w:rsidP="003E74B7">
            <w:pPr>
              <w:rPr>
                <w:rFonts w:asciiTheme="majorHAnsi" w:hAnsiTheme="majorHAnsi"/>
              </w:rPr>
            </w:pPr>
            <w:r w:rsidRPr="008675CA">
              <w:rPr>
                <w:rFonts w:asciiTheme="majorHAnsi" w:hAnsiTheme="majorHAnsi"/>
                <w:b/>
              </w:rPr>
              <w:t>Return on Equity @ 14% (Sl.no.3 * 14%)</w:t>
            </w:r>
          </w:p>
        </w:tc>
        <w:tc>
          <w:tcPr>
            <w:tcW w:w="3216" w:type="dxa"/>
          </w:tcPr>
          <w:p w14:paraId="4EBAAD3E" w14:textId="77777777" w:rsidR="003E74B7" w:rsidRPr="008675CA" w:rsidRDefault="00FC11E3" w:rsidP="00F12881">
            <w:pPr>
              <w:pStyle w:val="Style3"/>
            </w:pPr>
            <w:r w:rsidRPr="008675CA">
              <w:t>23.04</w:t>
            </w:r>
          </w:p>
        </w:tc>
      </w:tr>
    </w:tbl>
    <w:p w14:paraId="7249D920" w14:textId="77777777" w:rsidR="00DA77FC" w:rsidRDefault="00DA77FC" w:rsidP="00F12881">
      <w:pPr>
        <w:pStyle w:val="Style3"/>
      </w:pPr>
    </w:p>
    <w:p w14:paraId="19717E26" w14:textId="77777777" w:rsidR="00E61C51" w:rsidRPr="008675CA" w:rsidRDefault="00E61C51" w:rsidP="00F12881">
      <w:pPr>
        <w:pStyle w:val="Style3"/>
      </w:pPr>
    </w:p>
    <w:p w14:paraId="161B913F" w14:textId="7B2EC6D8" w:rsidR="00FC11E3" w:rsidRPr="008675CA" w:rsidRDefault="00FC11E3" w:rsidP="00FC11E3">
      <w:pPr>
        <w:pStyle w:val="Caption"/>
        <w:keepNext/>
        <w:spacing w:after="0"/>
        <w:ind w:left="90"/>
        <w:rPr>
          <w:rFonts w:asciiTheme="majorHAnsi" w:eastAsia="Times New Roman" w:hAnsiTheme="majorHAnsi" w:cs="Times New Roman"/>
          <w:b/>
          <w:bCs/>
          <w:i w:val="0"/>
          <w:iCs w:val="0"/>
          <w:color w:val="auto"/>
          <w:sz w:val="22"/>
          <w:szCs w:val="22"/>
          <w:lang w:val="en-GB"/>
        </w:rPr>
      </w:pPr>
      <w:r w:rsidRPr="008675CA">
        <w:rPr>
          <w:rFonts w:asciiTheme="majorHAnsi" w:hAnsiTheme="majorHAnsi"/>
          <w:b/>
          <w:i w:val="0"/>
          <w:color w:val="auto"/>
          <w:sz w:val="22"/>
          <w:szCs w:val="22"/>
        </w:rPr>
        <w:t xml:space="preserve">     Table</w:t>
      </w:r>
      <w:r w:rsidR="00104302" w:rsidRPr="008675CA">
        <w:rPr>
          <w:rFonts w:asciiTheme="majorHAnsi" w:hAnsiTheme="majorHAnsi"/>
          <w:b/>
          <w:i w:val="0"/>
          <w:color w:val="auto"/>
          <w:sz w:val="22"/>
          <w:szCs w:val="22"/>
        </w:rPr>
        <w:t xml:space="preserve"> 1</w:t>
      </w:r>
      <w:r w:rsidR="003A4ABE">
        <w:rPr>
          <w:rFonts w:asciiTheme="majorHAnsi" w:hAnsiTheme="majorHAnsi"/>
          <w:b/>
          <w:i w:val="0"/>
          <w:color w:val="auto"/>
          <w:sz w:val="22"/>
          <w:szCs w:val="22"/>
        </w:rPr>
        <w:t>2</w:t>
      </w:r>
      <w:r w:rsidRPr="008675CA">
        <w:rPr>
          <w:rFonts w:asciiTheme="majorHAnsi" w:hAnsiTheme="majorHAnsi"/>
          <w:b/>
          <w:i w:val="0"/>
          <w:color w:val="auto"/>
          <w:sz w:val="22"/>
          <w:szCs w:val="22"/>
        </w:rPr>
        <w:t xml:space="preserve">: Additional </w:t>
      </w:r>
      <w:r w:rsidRPr="008675CA">
        <w:rPr>
          <w:rFonts w:asciiTheme="majorHAnsi" w:eastAsia="Times New Roman" w:hAnsiTheme="majorHAnsi" w:cs="Times New Roman"/>
          <w:b/>
          <w:bCs/>
          <w:i w:val="0"/>
          <w:iCs w:val="0"/>
          <w:color w:val="auto"/>
          <w:sz w:val="22"/>
          <w:szCs w:val="22"/>
          <w:lang w:val="en-GB"/>
        </w:rPr>
        <w:t xml:space="preserve">RoE </w:t>
      </w:r>
      <w:r w:rsidRPr="008675CA">
        <w:rPr>
          <w:rFonts w:asciiTheme="majorHAnsi" w:hAnsiTheme="majorHAnsi"/>
          <w:b/>
          <w:i w:val="0"/>
          <w:color w:val="auto"/>
          <w:sz w:val="22"/>
          <w:szCs w:val="22"/>
        </w:rPr>
        <w:t xml:space="preserve">Claim </w:t>
      </w:r>
      <w:r w:rsidRPr="008675CA">
        <w:rPr>
          <w:rFonts w:asciiTheme="majorHAnsi" w:eastAsia="Times New Roman" w:hAnsiTheme="majorHAnsi" w:cs="Times New Roman"/>
          <w:b/>
          <w:bCs/>
          <w:i w:val="0"/>
          <w:iCs w:val="0"/>
          <w:color w:val="auto"/>
          <w:sz w:val="22"/>
          <w:szCs w:val="22"/>
          <w:lang w:val="en-GB"/>
        </w:rPr>
        <w:t>Ba</w:t>
      </w:r>
      <w:r w:rsidR="003A4ABE">
        <w:rPr>
          <w:rFonts w:asciiTheme="majorHAnsi" w:eastAsia="Times New Roman" w:hAnsiTheme="majorHAnsi" w:cs="Times New Roman"/>
          <w:b/>
          <w:bCs/>
          <w:i w:val="0"/>
          <w:iCs w:val="0"/>
          <w:color w:val="auto"/>
          <w:sz w:val="22"/>
          <w:szCs w:val="22"/>
          <w:lang w:val="en-GB"/>
        </w:rPr>
        <w:t>sed on Revised Components (Rs. i</w:t>
      </w:r>
      <w:r w:rsidRPr="008675CA">
        <w:rPr>
          <w:rFonts w:asciiTheme="majorHAnsi" w:eastAsia="Times New Roman" w:hAnsiTheme="majorHAnsi" w:cs="Times New Roman"/>
          <w:b/>
          <w:bCs/>
          <w:i w:val="0"/>
          <w:iCs w:val="0"/>
          <w:color w:val="auto"/>
          <w:sz w:val="22"/>
          <w:szCs w:val="22"/>
          <w:lang w:val="en-GB"/>
        </w:rPr>
        <w:t>n  Cr.)</w:t>
      </w:r>
    </w:p>
    <w:tbl>
      <w:tblPr>
        <w:tblStyle w:val="TableGrid2"/>
        <w:tblW w:w="4858" w:type="pct"/>
        <w:tblInd w:w="279" w:type="dxa"/>
        <w:tblLook w:val="04A0" w:firstRow="1" w:lastRow="0" w:firstColumn="1" w:lastColumn="0" w:noHBand="0" w:noVBand="1"/>
      </w:tblPr>
      <w:tblGrid>
        <w:gridCol w:w="821"/>
        <w:gridCol w:w="6946"/>
        <w:gridCol w:w="1787"/>
      </w:tblGrid>
      <w:tr w:rsidR="00FC11E3" w:rsidRPr="008675CA" w14:paraId="4FB53B3A" w14:textId="77777777" w:rsidTr="00FC11E3">
        <w:trPr>
          <w:trHeight w:val="252"/>
          <w:tblHeader/>
        </w:trPr>
        <w:tc>
          <w:tcPr>
            <w:tcW w:w="430" w:type="pct"/>
            <w:shd w:val="clear" w:color="auto" w:fill="D9D9D9" w:themeFill="background1" w:themeFillShade="D9"/>
          </w:tcPr>
          <w:p w14:paraId="3A9FD1AA" w14:textId="77777777" w:rsidR="00FC11E3" w:rsidRPr="008675CA" w:rsidRDefault="00FC11E3" w:rsidP="00F12881">
            <w:pPr>
              <w:pStyle w:val="Style3"/>
            </w:pPr>
            <w:r w:rsidRPr="008675CA">
              <w:t>Sl No</w:t>
            </w:r>
          </w:p>
        </w:tc>
        <w:tc>
          <w:tcPr>
            <w:tcW w:w="3635" w:type="pct"/>
            <w:shd w:val="clear" w:color="auto" w:fill="D9D9D9" w:themeFill="background1" w:themeFillShade="D9"/>
          </w:tcPr>
          <w:p w14:paraId="203B2DF1" w14:textId="77777777" w:rsidR="00FC11E3" w:rsidRPr="008675CA" w:rsidRDefault="00FC11E3" w:rsidP="007A771A">
            <w:pPr>
              <w:rPr>
                <w:rFonts w:asciiTheme="majorHAnsi" w:eastAsia="Arial" w:hAnsiTheme="majorHAnsi" w:cs="Times New Roman"/>
                <w:b/>
                <w:lang w:eastAsia="en-IN"/>
              </w:rPr>
            </w:pPr>
            <w:r w:rsidRPr="008675CA">
              <w:rPr>
                <w:rFonts w:asciiTheme="majorHAnsi" w:eastAsia="Arial" w:hAnsiTheme="majorHAnsi" w:cs="Times New Roman"/>
                <w:b/>
                <w:lang w:eastAsia="en-IN"/>
              </w:rPr>
              <w:t>Particulars</w:t>
            </w:r>
          </w:p>
        </w:tc>
        <w:tc>
          <w:tcPr>
            <w:tcW w:w="935" w:type="pct"/>
            <w:shd w:val="clear" w:color="auto" w:fill="D9D9D9" w:themeFill="background1" w:themeFillShade="D9"/>
          </w:tcPr>
          <w:p w14:paraId="195E3F75" w14:textId="77777777" w:rsidR="00FC11E3" w:rsidRPr="008675CA" w:rsidRDefault="00FC11E3" w:rsidP="007A771A">
            <w:pPr>
              <w:rPr>
                <w:rFonts w:asciiTheme="majorHAnsi" w:eastAsia="Arial" w:hAnsiTheme="majorHAnsi" w:cs="Times New Roman"/>
                <w:b/>
                <w:lang w:eastAsia="en-IN"/>
              </w:rPr>
            </w:pPr>
            <w:r w:rsidRPr="008675CA">
              <w:rPr>
                <w:rFonts w:asciiTheme="majorHAnsi" w:eastAsia="Arial" w:hAnsiTheme="majorHAnsi" w:cs="Times New Roman"/>
                <w:b/>
                <w:lang w:eastAsia="en-IN"/>
              </w:rPr>
              <w:t>FY 2020-21</w:t>
            </w:r>
          </w:p>
        </w:tc>
      </w:tr>
      <w:tr w:rsidR="00FC11E3" w:rsidRPr="008675CA" w14:paraId="3A6C8078" w14:textId="77777777" w:rsidTr="00FC11E3">
        <w:trPr>
          <w:trHeight w:val="305"/>
        </w:trPr>
        <w:tc>
          <w:tcPr>
            <w:tcW w:w="430" w:type="pct"/>
          </w:tcPr>
          <w:p w14:paraId="76AE0419" w14:textId="77777777" w:rsidR="00FC11E3" w:rsidRPr="008675CA" w:rsidRDefault="00FC11E3" w:rsidP="00F12881">
            <w:pPr>
              <w:pStyle w:val="Style3"/>
            </w:pPr>
            <w:r w:rsidRPr="008675CA">
              <w:t>1</w:t>
            </w:r>
          </w:p>
        </w:tc>
        <w:tc>
          <w:tcPr>
            <w:tcW w:w="3635" w:type="pct"/>
          </w:tcPr>
          <w:p w14:paraId="0CE01FBB" w14:textId="77777777" w:rsidR="00FC11E3" w:rsidRPr="008675CA" w:rsidRDefault="00FC11E3" w:rsidP="00FC11E3">
            <w:pPr>
              <w:rPr>
                <w:rFonts w:asciiTheme="majorHAnsi" w:eastAsia="Arial" w:hAnsiTheme="majorHAnsi" w:cs="Times New Roman"/>
                <w:lang w:eastAsia="en-IN"/>
              </w:rPr>
            </w:pPr>
            <w:r w:rsidRPr="008675CA">
              <w:rPr>
                <w:rFonts w:asciiTheme="majorHAnsi" w:eastAsia="Arial" w:hAnsiTheme="majorHAnsi" w:cs="Times New Roman"/>
                <w:lang w:eastAsia="en-IN"/>
              </w:rPr>
              <w:t>RoE Charges claimed by MePGCL in the True Up petition (1)</w:t>
            </w:r>
          </w:p>
        </w:tc>
        <w:tc>
          <w:tcPr>
            <w:tcW w:w="935" w:type="pct"/>
          </w:tcPr>
          <w:p w14:paraId="0D2E0B19" w14:textId="77777777" w:rsidR="00FC11E3" w:rsidRPr="008675CA" w:rsidRDefault="00FC11E3" w:rsidP="007A771A">
            <w:pPr>
              <w:jc w:val="center"/>
              <w:rPr>
                <w:rFonts w:asciiTheme="majorHAnsi" w:eastAsia="Arial" w:hAnsiTheme="majorHAnsi" w:cs="Times New Roman"/>
                <w:lang w:eastAsia="en-IN"/>
              </w:rPr>
            </w:pPr>
            <w:r w:rsidRPr="008675CA">
              <w:rPr>
                <w:rFonts w:asciiTheme="majorHAnsi" w:eastAsia="Arial" w:hAnsiTheme="majorHAnsi" w:cs="Times New Roman"/>
                <w:lang w:eastAsia="en-IN"/>
              </w:rPr>
              <w:t>23.04</w:t>
            </w:r>
          </w:p>
        </w:tc>
      </w:tr>
      <w:tr w:rsidR="00FC11E3" w:rsidRPr="008675CA" w14:paraId="7CF4F7DF" w14:textId="77777777" w:rsidTr="00FC11E3">
        <w:trPr>
          <w:trHeight w:val="225"/>
        </w:trPr>
        <w:tc>
          <w:tcPr>
            <w:tcW w:w="430" w:type="pct"/>
          </w:tcPr>
          <w:p w14:paraId="6F8952E2" w14:textId="77777777" w:rsidR="00FC11E3" w:rsidRPr="008675CA" w:rsidRDefault="00FC11E3" w:rsidP="00F12881">
            <w:pPr>
              <w:pStyle w:val="Style3"/>
            </w:pPr>
            <w:r w:rsidRPr="008675CA">
              <w:t>2</w:t>
            </w:r>
          </w:p>
        </w:tc>
        <w:tc>
          <w:tcPr>
            <w:tcW w:w="3635" w:type="pct"/>
          </w:tcPr>
          <w:p w14:paraId="023D9966" w14:textId="77777777" w:rsidR="00FC11E3" w:rsidRPr="008675CA" w:rsidRDefault="00FC11E3" w:rsidP="007A771A">
            <w:pPr>
              <w:rPr>
                <w:rFonts w:asciiTheme="majorHAnsi" w:eastAsia="Arial" w:hAnsiTheme="majorHAnsi" w:cs="Times New Roman"/>
                <w:lang w:eastAsia="en-IN"/>
              </w:rPr>
            </w:pPr>
            <w:r w:rsidRPr="008675CA">
              <w:rPr>
                <w:rFonts w:asciiTheme="majorHAnsi" w:eastAsia="Arial" w:hAnsiTheme="majorHAnsi" w:cs="Times New Roman"/>
                <w:lang w:eastAsia="en-IN"/>
              </w:rPr>
              <w:t>RoE allowed by MSERC in the True Up order (2)</w:t>
            </w:r>
          </w:p>
        </w:tc>
        <w:tc>
          <w:tcPr>
            <w:tcW w:w="935" w:type="pct"/>
          </w:tcPr>
          <w:p w14:paraId="103283BF" w14:textId="77777777" w:rsidR="00FC11E3" w:rsidRPr="008675CA" w:rsidRDefault="00FC11E3" w:rsidP="007A771A">
            <w:pPr>
              <w:jc w:val="center"/>
              <w:rPr>
                <w:rFonts w:asciiTheme="majorHAnsi" w:eastAsia="Arial" w:hAnsiTheme="majorHAnsi" w:cs="Times New Roman"/>
                <w:lang w:eastAsia="en-IN"/>
              </w:rPr>
            </w:pPr>
            <w:r w:rsidRPr="008675CA">
              <w:rPr>
                <w:rFonts w:asciiTheme="majorHAnsi" w:eastAsia="Arial" w:hAnsiTheme="majorHAnsi" w:cs="Times New Roman"/>
                <w:lang w:eastAsia="en-IN"/>
              </w:rPr>
              <w:t>20.76</w:t>
            </w:r>
          </w:p>
        </w:tc>
      </w:tr>
      <w:tr w:rsidR="00FC11E3" w:rsidRPr="008675CA" w14:paraId="5C80A760" w14:textId="77777777" w:rsidTr="00FC11E3">
        <w:trPr>
          <w:trHeight w:val="277"/>
        </w:trPr>
        <w:tc>
          <w:tcPr>
            <w:tcW w:w="430" w:type="pct"/>
          </w:tcPr>
          <w:p w14:paraId="5CD633C6" w14:textId="77777777" w:rsidR="00FC11E3" w:rsidRPr="008675CA" w:rsidRDefault="00FC11E3" w:rsidP="00F12881">
            <w:pPr>
              <w:pStyle w:val="Style3"/>
            </w:pPr>
            <w:r w:rsidRPr="008675CA">
              <w:t>3</w:t>
            </w:r>
          </w:p>
        </w:tc>
        <w:tc>
          <w:tcPr>
            <w:tcW w:w="3635" w:type="pct"/>
          </w:tcPr>
          <w:p w14:paraId="208D263F" w14:textId="77777777" w:rsidR="00FC11E3" w:rsidRPr="008675CA" w:rsidRDefault="00FC11E3" w:rsidP="00FC11E3">
            <w:pPr>
              <w:rPr>
                <w:rFonts w:asciiTheme="majorHAnsi" w:eastAsia="Arial" w:hAnsiTheme="majorHAnsi" w:cs="Times New Roman"/>
                <w:b/>
                <w:lang w:eastAsia="en-IN"/>
              </w:rPr>
            </w:pPr>
            <w:r w:rsidRPr="008675CA">
              <w:rPr>
                <w:rFonts w:asciiTheme="majorHAnsi" w:eastAsia="Arial" w:hAnsiTheme="majorHAnsi" w:cs="Times New Roman"/>
                <w:b/>
                <w:lang w:eastAsia="en-IN"/>
              </w:rPr>
              <w:t>Additional RoE to be allowed in the review petition (3=1-2)</w:t>
            </w:r>
          </w:p>
        </w:tc>
        <w:tc>
          <w:tcPr>
            <w:tcW w:w="935" w:type="pct"/>
          </w:tcPr>
          <w:p w14:paraId="62010744" w14:textId="77777777" w:rsidR="00FC11E3" w:rsidRPr="008675CA" w:rsidRDefault="00FC11E3" w:rsidP="007A771A">
            <w:pPr>
              <w:jc w:val="center"/>
              <w:rPr>
                <w:rFonts w:asciiTheme="majorHAnsi" w:hAnsiTheme="majorHAnsi" w:cs="Calibri"/>
                <w:b/>
              </w:rPr>
            </w:pPr>
            <w:r w:rsidRPr="008675CA">
              <w:rPr>
                <w:rFonts w:asciiTheme="majorHAnsi" w:hAnsiTheme="majorHAnsi" w:cs="Calibri"/>
                <w:b/>
              </w:rPr>
              <w:t>2.28</w:t>
            </w:r>
          </w:p>
        </w:tc>
      </w:tr>
    </w:tbl>
    <w:p w14:paraId="4EA1E863" w14:textId="77777777" w:rsidR="00FC11E3" w:rsidRPr="008675CA" w:rsidRDefault="00FC11E3" w:rsidP="00FC11E3">
      <w:pPr>
        <w:ind w:left="360"/>
        <w:jc w:val="both"/>
        <w:rPr>
          <w:rFonts w:asciiTheme="majorHAnsi" w:eastAsia="Arial" w:hAnsiTheme="majorHAnsi"/>
          <w:b/>
          <w:lang w:eastAsia="en-IN"/>
        </w:rPr>
      </w:pPr>
      <w:r w:rsidRPr="008675CA">
        <w:rPr>
          <w:rFonts w:asciiTheme="majorHAnsi" w:eastAsia="Arial" w:hAnsiTheme="majorHAnsi"/>
          <w:lang w:eastAsia="en-IN"/>
        </w:rPr>
        <w:t>The Hon’ble Commission is requested to allow an additional amount of Rs.</w:t>
      </w:r>
      <w:r w:rsidR="005F33B8" w:rsidRPr="008675CA">
        <w:rPr>
          <w:rFonts w:asciiTheme="majorHAnsi" w:eastAsia="Arial" w:hAnsiTheme="majorHAnsi"/>
          <w:lang w:eastAsia="en-IN"/>
        </w:rPr>
        <w:t>2.28</w:t>
      </w:r>
      <w:r w:rsidRPr="008675CA">
        <w:rPr>
          <w:rFonts w:asciiTheme="majorHAnsi" w:eastAsia="Arial" w:hAnsiTheme="majorHAnsi"/>
          <w:lang w:eastAsia="en-IN"/>
        </w:rPr>
        <w:t xml:space="preserve"> Cr. for FY 2020-21 for Interest and Finance charge as shown in the table above.</w:t>
      </w:r>
    </w:p>
    <w:p w14:paraId="345D07FD" w14:textId="77777777" w:rsidR="00EC3BC5" w:rsidRDefault="00372DCD" w:rsidP="00F12881">
      <w:pPr>
        <w:pStyle w:val="Style3"/>
      </w:pPr>
      <w:r w:rsidRPr="008675CA">
        <w:t>2</w:t>
      </w:r>
      <w:r w:rsidR="00EC3BC5" w:rsidRPr="008675CA">
        <w:t>.3.</w:t>
      </w:r>
      <w:r w:rsidR="007F275A" w:rsidRPr="008675CA">
        <w:t>4</w:t>
      </w:r>
      <w:r w:rsidR="00EC3BC5" w:rsidRPr="008675CA">
        <w:t xml:space="preserve"> </w:t>
      </w:r>
      <w:r w:rsidR="00DA77FC" w:rsidRPr="00201045">
        <w:t>Interest on Working Capital</w:t>
      </w:r>
    </w:p>
    <w:p w14:paraId="4EE82FF7" w14:textId="77777777" w:rsidR="00201045" w:rsidRPr="00201045" w:rsidRDefault="00201045" w:rsidP="00F12881">
      <w:pPr>
        <w:pStyle w:val="Style3"/>
      </w:pPr>
    </w:p>
    <w:p w14:paraId="70084F92" w14:textId="77777777" w:rsidR="00DA77FC" w:rsidRPr="008675CA" w:rsidRDefault="00DA77FC" w:rsidP="00F12881">
      <w:pPr>
        <w:pStyle w:val="Style3"/>
      </w:pPr>
      <w:r w:rsidRPr="008675CA">
        <w:t>Based on the above submissions for review, the interest on working capital has been computed in line with the existing MSERC Regulations as given below:</w:t>
      </w:r>
    </w:p>
    <w:p w14:paraId="4C8F58BC" w14:textId="77777777" w:rsidR="003A4ABE" w:rsidRPr="00201045" w:rsidRDefault="003A4ABE" w:rsidP="00DA77FC">
      <w:pPr>
        <w:pStyle w:val="Caption"/>
        <w:keepNext/>
        <w:spacing w:after="0"/>
        <w:ind w:left="360"/>
        <w:jc w:val="center"/>
        <w:rPr>
          <w:rFonts w:asciiTheme="majorHAnsi" w:hAnsiTheme="majorHAnsi"/>
          <w:b/>
          <w:i w:val="0"/>
          <w:color w:val="auto"/>
          <w:sz w:val="10"/>
          <w:szCs w:val="22"/>
        </w:rPr>
      </w:pPr>
    </w:p>
    <w:p w14:paraId="09E18C01" w14:textId="781BE28B" w:rsidR="00DA77FC" w:rsidRPr="008675CA" w:rsidRDefault="00DA77FC" w:rsidP="00DA77FC">
      <w:pPr>
        <w:pStyle w:val="Caption"/>
        <w:keepNext/>
        <w:spacing w:after="0"/>
        <w:ind w:left="360"/>
        <w:jc w:val="center"/>
        <w:rPr>
          <w:rFonts w:asciiTheme="majorHAnsi" w:hAnsiTheme="majorHAnsi"/>
          <w:b/>
          <w:i w:val="0"/>
          <w:color w:val="auto"/>
          <w:sz w:val="22"/>
          <w:szCs w:val="22"/>
        </w:rPr>
      </w:pPr>
      <w:r w:rsidRPr="008675CA">
        <w:rPr>
          <w:rFonts w:asciiTheme="majorHAnsi" w:hAnsiTheme="majorHAnsi"/>
          <w:b/>
          <w:i w:val="0"/>
          <w:color w:val="auto"/>
          <w:sz w:val="22"/>
          <w:szCs w:val="22"/>
        </w:rPr>
        <w:t xml:space="preserve">Table </w:t>
      </w:r>
      <w:r w:rsidR="00D6100A">
        <w:rPr>
          <w:rFonts w:asciiTheme="majorHAnsi" w:hAnsiTheme="majorHAnsi"/>
          <w:b/>
          <w:i w:val="0"/>
          <w:color w:val="auto"/>
          <w:sz w:val="22"/>
          <w:szCs w:val="22"/>
        </w:rPr>
        <w:t>1</w:t>
      </w:r>
      <w:r w:rsidR="003A4ABE">
        <w:rPr>
          <w:rFonts w:asciiTheme="majorHAnsi" w:hAnsiTheme="majorHAnsi"/>
          <w:b/>
          <w:i w:val="0"/>
          <w:color w:val="auto"/>
          <w:sz w:val="22"/>
          <w:szCs w:val="22"/>
        </w:rPr>
        <w:t>3</w:t>
      </w:r>
      <w:r w:rsidR="008A1D73">
        <w:rPr>
          <w:rFonts w:asciiTheme="majorHAnsi" w:hAnsiTheme="majorHAnsi"/>
          <w:b/>
          <w:i w:val="0"/>
          <w:color w:val="auto"/>
          <w:sz w:val="22"/>
          <w:szCs w:val="22"/>
        </w:rPr>
        <w:t>: IWC Claim of NUHEP (</w:t>
      </w:r>
      <w:r w:rsidRPr="008675CA">
        <w:rPr>
          <w:rFonts w:asciiTheme="majorHAnsi" w:hAnsiTheme="majorHAnsi"/>
          <w:b/>
          <w:i w:val="0"/>
          <w:color w:val="auto"/>
          <w:sz w:val="22"/>
          <w:szCs w:val="22"/>
        </w:rPr>
        <w:t>R</w:t>
      </w:r>
      <w:r w:rsidR="008A1D73">
        <w:rPr>
          <w:rFonts w:asciiTheme="majorHAnsi" w:hAnsiTheme="majorHAnsi"/>
          <w:b/>
          <w:i w:val="0"/>
          <w:color w:val="auto"/>
          <w:sz w:val="22"/>
          <w:szCs w:val="22"/>
        </w:rPr>
        <w:t>s.in</w:t>
      </w:r>
      <w:r w:rsidRPr="008675CA">
        <w:rPr>
          <w:rFonts w:asciiTheme="majorHAnsi" w:hAnsiTheme="majorHAnsi"/>
          <w:b/>
          <w:i w:val="0"/>
          <w:color w:val="auto"/>
          <w:sz w:val="22"/>
          <w:szCs w:val="22"/>
        </w:rPr>
        <w:t xml:space="preserve"> Cr.)</w:t>
      </w:r>
    </w:p>
    <w:tbl>
      <w:tblPr>
        <w:tblW w:w="4776"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7"/>
        <w:gridCol w:w="6663"/>
        <w:gridCol w:w="1702"/>
      </w:tblGrid>
      <w:tr w:rsidR="00AF0C5F" w:rsidRPr="008675CA" w14:paraId="15130CEE" w14:textId="77777777" w:rsidTr="005F33B8">
        <w:trPr>
          <w:trHeight w:val="262"/>
          <w:tblHeader/>
        </w:trPr>
        <w:tc>
          <w:tcPr>
            <w:tcW w:w="547" w:type="pct"/>
            <w:shd w:val="clear" w:color="auto" w:fill="BFBFBF" w:themeFill="background1" w:themeFillShade="BF"/>
            <w:noWrap/>
            <w:vAlign w:val="center"/>
            <w:hideMark/>
          </w:tcPr>
          <w:p w14:paraId="2CC4AE7F" w14:textId="77777777" w:rsidR="00AF0C5F" w:rsidRPr="008675CA" w:rsidRDefault="00AF0C5F" w:rsidP="00D6100A">
            <w:pPr>
              <w:spacing w:after="0" w:line="276" w:lineRule="auto"/>
              <w:rPr>
                <w:rFonts w:asciiTheme="majorHAnsi" w:eastAsia="Times New Roman" w:hAnsiTheme="majorHAnsi" w:cs="Calibri"/>
                <w:b/>
              </w:rPr>
            </w:pPr>
            <w:r w:rsidRPr="008675CA">
              <w:rPr>
                <w:rFonts w:asciiTheme="majorHAnsi" w:eastAsia="Times New Roman" w:hAnsiTheme="majorHAnsi" w:cs="Calibri"/>
                <w:b/>
              </w:rPr>
              <w:t>Sl. No</w:t>
            </w:r>
          </w:p>
        </w:tc>
        <w:tc>
          <w:tcPr>
            <w:tcW w:w="3547" w:type="pct"/>
            <w:shd w:val="clear" w:color="auto" w:fill="BFBFBF" w:themeFill="background1" w:themeFillShade="BF"/>
            <w:noWrap/>
            <w:hideMark/>
          </w:tcPr>
          <w:p w14:paraId="10671774" w14:textId="77777777" w:rsidR="00AF0C5F" w:rsidRPr="008675CA" w:rsidRDefault="00AF0C5F" w:rsidP="00D6100A">
            <w:pPr>
              <w:spacing w:after="0" w:line="276" w:lineRule="auto"/>
              <w:jc w:val="center"/>
              <w:rPr>
                <w:rFonts w:asciiTheme="majorHAnsi" w:eastAsia="Times New Roman" w:hAnsiTheme="majorHAnsi" w:cs="Calibri"/>
                <w:b/>
              </w:rPr>
            </w:pPr>
            <w:r w:rsidRPr="008675CA">
              <w:rPr>
                <w:rFonts w:asciiTheme="majorHAnsi" w:eastAsia="Times New Roman" w:hAnsiTheme="majorHAnsi" w:cs="Calibri"/>
                <w:b/>
              </w:rPr>
              <w:t>Particulars</w:t>
            </w:r>
          </w:p>
        </w:tc>
        <w:tc>
          <w:tcPr>
            <w:tcW w:w="906" w:type="pct"/>
            <w:shd w:val="clear" w:color="auto" w:fill="BFBFBF" w:themeFill="background1" w:themeFillShade="BF"/>
          </w:tcPr>
          <w:p w14:paraId="5DFB8465" w14:textId="77777777" w:rsidR="00AF0C5F" w:rsidRPr="008675CA" w:rsidRDefault="00AF0C5F" w:rsidP="00D6100A">
            <w:pPr>
              <w:spacing w:after="0" w:line="276" w:lineRule="auto"/>
              <w:jc w:val="center"/>
              <w:rPr>
                <w:rFonts w:asciiTheme="majorHAnsi" w:eastAsia="Times New Roman" w:hAnsiTheme="majorHAnsi" w:cs="Calibri"/>
                <w:b/>
              </w:rPr>
            </w:pPr>
            <w:r w:rsidRPr="008675CA">
              <w:rPr>
                <w:rFonts w:asciiTheme="majorHAnsi" w:eastAsia="Times New Roman" w:hAnsiTheme="majorHAnsi" w:cs="Calibri"/>
                <w:b/>
              </w:rPr>
              <w:t xml:space="preserve">FY </w:t>
            </w:r>
            <w:r w:rsidR="005F33B8" w:rsidRPr="008675CA">
              <w:rPr>
                <w:rFonts w:asciiTheme="majorHAnsi" w:eastAsia="Times New Roman" w:hAnsiTheme="majorHAnsi" w:cs="Calibri"/>
                <w:b/>
              </w:rPr>
              <w:t>2020-21</w:t>
            </w:r>
          </w:p>
        </w:tc>
      </w:tr>
      <w:tr w:rsidR="00AF0C5F" w:rsidRPr="008675CA" w14:paraId="58B03E94" w14:textId="77777777" w:rsidTr="005F33B8">
        <w:trPr>
          <w:trHeight w:val="262"/>
        </w:trPr>
        <w:tc>
          <w:tcPr>
            <w:tcW w:w="547" w:type="pct"/>
            <w:shd w:val="clear" w:color="auto" w:fill="auto"/>
            <w:noWrap/>
            <w:vAlign w:val="center"/>
            <w:hideMark/>
          </w:tcPr>
          <w:p w14:paraId="16E3D211" w14:textId="77777777" w:rsidR="00AF0C5F" w:rsidRPr="008675CA" w:rsidRDefault="00AF0C5F" w:rsidP="00D6100A">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1</w:t>
            </w:r>
          </w:p>
        </w:tc>
        <w:tc>
          <w:tcPr>
            <w:tcW w:w="3547" w:type="pct"/>
            <w:shd w:val="clear" w:color="auto" w:fill="auto"/>
            <w:noWrap/>
            <w:vAlign w:val="bottom"/>
            <w:hideMark/>
          </w:tcPr>
          <w:p w14:paraId="3CFE9438" w14:textId="77777777" w:rsidR="00AF0C5F" w:rsidRPr="008675CA" w:rsidRDefault="00AF0C5F" w:rsidP="00D6100A">
            <w:pPr>
              <w:spacing w:after="0" w:line="276" w:lineRule="auto"/>
              <w:jc w:val="both"/>
              <w:rPr>
                <w:rFonts w:asciiTheme="majorHAnsi" w:eastAsia="Times New Roman" w:hAnsiTheme="majorHAnsi" w:cs="Calibri"/>
              </w:rPr>
            </w:pPr>
            <w:r w:rsidRPr="008675CA">
              <w:rPr>
                <w:rFonts w:asciiTheme="majorHAnsi" w:eastAsia="Times New Roman" w:hAnsiTheme="majorHAnsi" w:cs="Calibri"/>
              </w:rPr>
              <w:t>O&amp;M Expenses for one (1) month (</w:t>
            </w:r>
            <w:r w:rsidR="005F33B8" w:rsidRPr="008675CA">
              <w:rPr>
                <w:rFonts w:asciiTheme="majorHAnsi" w:eastAsia="Times New Roman" w:hAnsiTheme="majorHAnsi" w:cs="Calibri"/>
              </w:rPr>
              <w:t>Rs.</w:t>
            </w:r>
            <w:r w:rsidRPr="008675CA">
              <w:rPr>
                <w:rFonts w:asciiTheme="majorHAnsi" w:eastAsia="Times New Roman" w:hAnsiTheme="majorHAnsi" w:cs="Calibri"/>
              </w:rPr>
              <w:t xml:space="preserve"> </w:t>
            </w:r>
            <w:r w:rsidR="005F33B8" w:rsidRPr="008675CA">
              <w:rPr>
                <w:rFonts w:asciiTheme="majorHAnsi" w:eastAsia="Times New Roman" w:hAnsiTheme="majorHAnsi" w:cs="Calibri"/>
              </w:rPr>
              <w:t>13.72</w:t>
            </w:r>
            <w:r w:rsidRPr="008675CA">
              <w:rPr>
                <w:rFonts w:asciiTheme="majorHAnsi" w:eastAsia="Times New Roman" w:hAnsiTheme="majorHAnsi" w:cs="Calibri"/>
              </w:rPr>
              <w:t xml:space="preserve"> Cr./12) (a)</w:t>
            </w:r>
          </w:p>
        </w:tc>
        <w:tc>
          <w:tcPr>
            <w:tcW w:w="906" w:type="pct"/>
          </w:tcPr>
          <w:p w14:paraId="0D88EB1C" w14:textId="77777777" w:rsidR="00AF0C5F" w:rsidRPr="008675CA" w:rsidRDefault="005F33B8" w:rsidP="00D6100A">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1.14</w:t>
            </w:r>
          </w:p>
        </w:tc>
      </w:tr>
      <w:tr w:rsidR="00AF0C5F" w:rsidRPr="008675CA" w14:paraId="52B6FF55" w14:textId="77777777" w:rsidTr="005F33B8">
        <w:trPr>
          <w:trHeight w:val="262"/>
        </w:trPr>
        <w:tc>
          <w:tcPr>
            <w:tcW w:w="547" w:type="pct"/>
            <w:shd w:val="clear" w:color="auto" w:fill="auto"/>
            <w:noWrap/>
            <w:vAlign w:val="center"/>
            <w:hideMark/>
          </w:tcPr>
          <w:p w14:paraId="7C5D9073" w14:textId="77777777" w:rsidR="00AF0C5F" w:rsidRPr="008675CA" w:rsidRDefault="00AF0C5F" w:rsidP="00D6100A">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2</w:t>
            </w:r>
          </w:p>
        </w:tc>
        <w:tc>
          <w:tcPr>
            <w:tcW w:w="3547" w:type="pct"/>
            <w:shd w:val="clear" w:color="auto" w:fill="auto"/>
            <w:noWrap/>
            <w:vAlign w:val="bottom"/>
            <w:hideMark/>
          </w:tcPr>
          <w:p w14:paraId="2C7B8011" w14:textId="77777777" w:rsidR="00AF0C5F" w:rsidRPr="008675CA" w:rsidRDefault="00AF0C5F" w:rsidP="00D6100A">
            <w:pPr>
              <w:spacing w:after="0" w:line="276" w:lineRule="auto"/>
              <w:jc w:val="both"/>
              <w:rPr>
                <w:rFonts w:asciiTheme="majorHAnsi" w:eastAsia="Times New Roman" w:hAnsiTheme="majorHAnsi" w:cs="Calibri"/>
              </w:rPr>
            </w:pPr>
            <w:r w:rsidRPr="008675CA">
              <w:rPr>
                <w:rFonts w:asciiTheme="majorHAnsi" w:eastAsia="Times New Roman" w:hAnsiTheme="majorHAnsi" w:cs="Calibri"/>
              </w:rPr>
              <w:t>Maintenance Spares at 15% of O&amp;M expenses escalated at 6% (b)</w:t>
            </w:r>
          </w:p>
        </w:tc>
        <w:tc>
          <w:tcPr>
            <w:tcW w:w="906" w:type="pct"/>
          </w:tcPr>
          <w:p w14:paraId="18ECE26C" w14:textId="77777777" w:rsidR="00AF0C5F" w:rsidRPr="008675CA" w:rsidRDefault="005F33B8" w:rsidP="00D6100A">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2.18</w:t>
            </w:r>
          </w:p>
        </w:tc>
      </w:tr>
      <w:tr w:rsidR="00AF0C5F" w:rsidRPr="008675CA" w14:paraId="31234B33" w14:textId="77777777" w:rsidTr="005F33B8">
        <w:trPr>
          <w:trHeight w:val="262"/>
        </w:trPr>
        <w:tc>
          <w:tcPr>
            <w:tcW w:w="547" w:type="pct"/>
            <w:shd w:val="clear" w:color="auto" w:fill="auto"/>
            <w:noWrap/>
            <w:vAlign w:val="center"/>
            <w:hideMark/>
          </w:tcPr>
          <w:p w14:paraId="516E3F43" w14:textId="77777777" w:rsidR="00AF0C5F" w:rsidRPr="008675CA" w:rsidRDefault="00AF0C5F" w:rsidP="00D6100A">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3</w:t>
            </w:r>
          </w:p>
        </w:tc>
        <w:tc>
          <w:tcPr>
            <w:tcW w:w="3547" w:type="pct"/>
            <w:shd w:val="clear" w:color="auto" w:fill="auto"/>
            <w:noWrap/>
            <w:vAlign w:val="bottom"/>
            <w:hideMark/>
          </w:tcPr>
          <w:p w14:paraId="0D7DCFF3" w14:textId="77777777" w:rsidR="00AF0C5F" w:rsidRPr="008675CA" w:rsidRDefault="00AF0C5F" w:rsidP="00D6100A">
            <w:pPr>
              <w:spacing w:after="0" w:line="276" w:lineRule="auto"/>
              <w:jc w:val="both"/>
              <w:rPr>
                <w:rFonts w:asciiTheme="majorHAnsi" w:eastAsia="Times New Roman" w:hAnsiTheme="majorHAnsi" w:cs="Calibri"/>
              </w:rPr>
            </w:pPr>
            <w:r w:rsidRPr="008675CA">
              <w:rPr>
                <w:rFonts w:asciiTheme="majorHAnsi" w:eastAsia="Times New Roman" w:hAnsiTheme="majorHAnsi" w:cs="Calibri"/>
              </w:rPr>
              <w:t>Receivables equivalent to two (2) months Net AFC (c)</w:t>
            </w:r>
          </w:p>
        </w:tc>
        <w:tc>
          <w:tcPr>
            <w:tcW w:w="906" w:type="pct"/>
          </w:tcPr>
          <w:p w14:paraId="2E9F5241" w14:textId="77777777" w:rsidR="00AF0C5F" w:rsidRPr="008675CA" w:rsidRDefault="001319A1" w:rsidP="00D6100A">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16.84</w:t>
            </w:r>
          </w:p>
        </w:tc>
      </w:tr>
      <w:tr w:rsidR="00AF0C5F" w:rsidRPr="008675CA" w14:paraId="1252ADD0" w14:textId="77777777" w:rsidTr="005F33B8">
        <w:trPr>
          <w:trHeight w:val="262"/>
        </w:trPr>
        <w:tc>
          <w:tcPr>
            <w:tcW w:w="547" w:type="pct"/>
            <w:shd w:val="clear" w:color="auto" w:fill="auto"/>
            <w:noWrap/>
            <w:vAlign w:val="center"/>
            <w:hideMark/>
          </w:tcPr>
          <w:p w14:paraId="3208B739" w14:textId="77777777" w:rsidR="00AF0C5F" w:rsidRPr="008675CA" w:rsidRDefault="00AF0C5F" w:rsidP="00D6100A">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4</w:t>
            </w:r>
          </w:p>
        </w:tc>
        <w:tc>
          <w:tcPr>
            <w:tcW w:w="3547" w:type="pct"/>
            <w:shd w:val="clear" w:color="auto" w:fill="auto"/>
            <w:noWrap/>
            <w:vAlign w:val="bottom"/>
            <w:hideMark/>
          </w:tcPr>
          <w:p w14:paraId="1369DB6E" w14:textId="77777777" w:rsidR="00AF0C5F" w:rsidRPr="008675CA" w:rsidRDefault="00AF0C5F" w:rsidP="00D6100A">
            <w:pPr>
              <w:spacing w:after="0" w:line="276" w:lineRule="auto"/>
              <w:jc w:val="both"/>
              <w:rPr>
                <w:rFonts w:asciiTheme="majorHAnsi" w:eastAsia="Times New Roman" w:hAnsiTheme="majorHAnsi" w:cs="Calibri"/>
              </w:rPr>
            </w:pPr>
            <w:r w:rsidRPr="008675CA">
              <w:rPr>
                <w:rFonts w:asciiTheme="majorHAnsi" w:eastAsia="Times New Roman" w:hAnsiTheme="majorHAnsi" w:cs="Calibri"/>
              </w:rPr>
              <w:t>Working Capital requirement (d=a+b+c)</w:t>
            </w:r>
          </w:p>
        </w:tc>
        <w:tc>
          <w:tcPr>
            <w:tcW w:w="906" w:type="pct"/>
          </w:tcPr>
          <w:p w14:paraId="5F13B6A4" w14:textId="77777777" w:rsidR="00AF0C5F" w:rsidRPr="008675CA" w:rsidRDefault="001319A1" w:rsidP="00D6100A">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20.16</w:t>
            </w:r>
          </w:p>
        </w:tc>
      </w:tr>
      <w:tr w:rsidR="00AF0C5F" w:rsidRPr="008675CA" w14:paraId="5912547F" w14:textId="77777777" w:rsidTr="005F33B8">
        <w:trPr>
          <w:trHeight w:val="262"/>
        </w:trPr>
        <w:tc>
          <w:tcPr>
            <w:tcW w:w="547" w:type="pct"/>
            <w:shd w:val="clear" w:color="auto" w:fill="auto"/>
            <w:noWrap/>
            <w:vAlign w:val="center"/>
            <w:hideMark/>
          </w:tcPr>
          <w:p w14:paraId="08E2BE30" w14:textId="77777777" w:rsidR="00AF0C5F" w:rsidRPr="008675CA" w:rsidRDefault="00AF0C5F" w:rsidP="00D6100A">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5</w:t>
            </w:r>
          </w:p>
        </w:tc>
        <w:tc>
          <w:tcPr>
            <w:tcW w:w="3547" w:type="pct"/>
            <w:shd w:val="clear" w:color="auto" w:fill="auto"/>
            <w:noWrap/>
            <w:vAlign w:val="bottom"/>
            <w:hideMark/>
          </w:tcPr>
          <w:p w14:paraId="7DA6DEB2" w14:textId="77777777" w:rsidR="00AF0C5F" w:rsidRPr="008675CA" w:rsidRDefault="00AF0C5F" w:rsidP="00D6100A">
            <w:pPr>
              <w:spacing w:after="0" w:line="276" w:lineRule="auto"/>
              <w:jc w:val="both"/>
              <w:rPr>
                <w:rFonts w:asciiTheme="majorHAnsi" w:eastAsia="Times New Roman" w:hAnsiTheme="majorHAnsi" w:cs="Calibri"/>
              </w:rPr>
            </w:pPr>
            <w:r w:rsidRPr="008675CA">
              <w:rPr>
                <w:rFonts w:asciiTheme="majorHAnsi" w:eastAsia="Times New Roman" w:hAnsiTheme="majorHAnsi" w:cs="Calibri"/>
              </w:rPr>
              <w:t xml:space="preserve">Interest at </w:t>
            </w:r>
            <w:r w:rsidR="001319A1" w:rsidRPr="008675CA">
              <w:rPr>
                <w:rFonts w:asciiTheme="majorHAnsi" w:eastAsia="Times New Roman" w:hAnsiTheme="majorHAnsi" w:cs="Calibri"/>
              </w:rPr>
              <w:t>12</w:t>
            </w:r>
            <w:r w:rsidRPr="008675CA">
              <w:rPr>
                <w:rFonts w:asciiTheme="majorHAnsi" w:eastAsia="Times New Roman" w:hAnsiTheme="majorHAnsi" w:cs="Calibri"/>
              </w:rPr>
              <w:t>.</w:t>
            </w:r>
            <w:r w:rsidR="001319A1" w:rsidRPr="008675CA">
              <w:rPr>
                <w:rFonts w:asciiTheme="majorHAnsi" w:eastAsia="Times New Roman" w:hAnsiTheme="majorHAnsi" w:cs="Calibri"/>
              </w:rPr>
              <w:t>9</w:t>
            </w:r>
            <w:r w:rsidRPr="008675CA">
              <w:rPr>
                <w:rFonts w:asciiTheme="majorHAnsi" w:eastAsia="Times New Roman" w:hAnsiTheme="majorHAnsi" w:cs="Calibri"/>
              </w:rPr>
              <w:t>0% (e=d*</w:t>
            </w:r>
            <w:r w:rsidR="001319A1" w:rsidRPr="008675CA">
              <w:rPr>
                <w:rFonts w:asciiTheme="majorHAnsi" w:eastAsia="Times New Roman" w:hAnsiTheme="majorHAnsi" w:cs="Calibri"/>
              </w:rPr>
              <w:t>12.9</w:t>
            </w:r>
            <w:r w:rsidRPr="008675CA">
              <w:rPr>
                <w:rFonts w:asciiTheme="majorHAnsi" w:eastAsia="Times New Roman" w:hAnsiTheme="majorHAnsi" w:cs="Calibri"/>
              </w:rPr>
              <w:t>0%)</w:t>
            </w:r>
          </w:p>
        </w:tc>
        <w:tc>
          <w:tcPr>
            <w:tcW w:w="906" w:type="pct"/>
          </w:tcPr>
          <w:p w14:paraId="05BA59C3" w14:textId="77777777" w:rsidR="00AF0C5F" w:rsidRPr="008675CA" w:rsidRDefault="00AF0C5F" w:rsidP="00D6100A">
            <w:pPr>
              <w:spacing w:after="0" w:line="276" w:lineRule="auto"/>
              <w:jc w:val="center"/>
              <w:rPr>
                <w:rFonts w:asciiTheme="majorHAnsi" w:eastAsia="Times New Roman" w:hAnsiTheme="majorHAnsi" w:cs="Calibri"/>
                <w:b/>
              </w:rPr>
            </w:pPr>
            <w:r w:rsidRPr="008675CA">
              <w:rPr>
                <w:rFonts w:asciiTheme="majorHAnsi" w:eastAsia="Times New Roman" w:hAnsiTheme="majorHAnsi" w:cs="Calibri"/>
                <w:b/>
              </w:rPr>
              <w:t>2.6</w:t>
            </w:r>
            <w:r w:rsidR="001319A1" w:rsidRPr="008675CA">
              <w:rPr>
                <w:rFonts w:asciiTheme="majorHAnsi" w:eastAsia="Times New Roman" w:hAnsiTheme="majorHAnsi" w:cs="Calibri"/>
                <w:b/>
              </w:rPr>
              <w:t>0</w:t>
            </w:r>
          </w:p>
        </w:tc>
      </w:tr>
      <w:tr w:rsidR="00AF0C5F" w:rsidRPr="008675CA" w14:paraId="3BFA974A" w14:textId="77777777" w:rsidTr="005F33B8">
        <w:trPr>
          <w:trHeight w:val="262"/>
        </w:trPr>
        <w:tc>
          <w:tcPr>
            <w:tcW w:w="547" w:type="pct"/>
            <w:shd w:val="clear" w:color="auto" w:fill="auto"/>
            <w:noWrap/>
            <w:vAlign w:val="center"/>
          </w:tcPr>
          <w:p w14:paraId="2F4070FE" w14:textId="77777777" w:rsidR="00AF0C5F" w:rsidRPr="008675CA" w:rsidRDefault="00AF0C5F" w:rsidP="00D6100A">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6</w:t>
            </w:r>
          </w:p>
        </w:tc>
        <w:tc>
          <w:tcPr>
            <w:tcW w:w="3547" w:type="pct"/>
            <w:shd w:val="clear" w:color="auto" w:fill="auto"/>
            <w:noWrap/>
            <w:vAlign w:val="bottom"/>
          </w:tcPr>
          <w:p w14:paraId="563B867B" w14:textId="77777777" w:rsidR="00AF0C5F" w:rsidRPr="008675CA" w:rsidRDefault="00AF0C5F" w:rsidP="00D6100A">
            <w:pPr>
              <w:spacing w:after="0" w:line="276" w:lineRule="auto"/>
              <w:jc w:val="both"/>
              <w:rPr>
                <w:rFonts w:asciiTheme="majorHAnsi" w:eastAsia="Times New Roman" w:hAnsiTheme="majorHAnsi" w:cs="Calibri"/>
              </w:rPr>
            </w:pPr>
            <w:r w:rsidRPr="008675CA">
              <w:rPr>
                <w:rFonts w:asciiTheme="majorHAnsi" w:eastAsia="Times New Roman" w:hAnsiTheme="majorHAnsi" w:cs="Calibri"/>
              </w:rPr>
              <w:t>Approved IWC as per True up Order</w:t>
            </w:r>
          </w:p>
        </w:tc>
        <w:tc>
          <w:tcPr>
            <w:tcW w:w="906" w:type="pct"/>
          </w:tcPr>
          <w:p w14:paraId="44A2FE17" w14:textId="77777777" w:rsidR="00AF0C5F" w:rsidRPr="008675CA" w:rsidRDefault="001319A1" w:rsidP="00D6100A">
            <w:pPr>
              <w:spacing w:after="0" w:line="276" w:lineRule="auto"/>
              <w:jc w:val="center"/>
              <w:rPr>
                <w:rFonts w:asciiTheme="majorHAnsi" w:eastAsia="Times New Roman" w:hAnsiTheme="majorHAnsi" w:cs="Calibri"/>
              </w:rPr>
            </w:pPr>
            <w:r w:rsidRPr="008675CA">
              <w:rPr>
                <w:rFonts w:asciiTheme="majorHAnsi" w:eastAsia="Times New Roman" w:hAnsiTheme="majorHAnsi" w:cs="Calibri"/>
              </w:rPr>
              <w:t>2.42</w:t>
            </w:r>
          </w:p>
        </w:tc>
      </w:tr>
      <w:tr w:rsidR="00AF0C5F" w:rsidRPr="008675CA" w14:paraId="3AB0FC9C" w14:textId="77777777" w:rsidTr="005F33B8">
        <w:trPr>
          <w:trHeight w:val="262"/>
        </w:trPr>
        <w:tc>
          <w:tcPr>
            <w:tcW w:w="547" w:type="pct"/>
            <w:shd w:val="clear" w:color="auto" w:fill="auto"/>
            <w:noWrap/>
            <w:vAlign w:val="center"/>
          </w:tcPr>
          <w:p w14:paraId="178AD10B" w14:textId="77777777" w:rsidR="00AF0C5F" w:rsidRPr="008675CA" w:rsidRDefault="00AF0C5F" w:rsidP="00D6100A">
            <w:pPr>
              <w:spacing w:after="0" w:line="276" w:lineRule="auto"/>
              <w:jc w:val="center"/>
              <w:rPr>
                <w:rFonts w:asciiTheme="majorHAnsi" w:eastAsia="Times New Roman" w:hAnsiTheme="majorHAnsi" w:cs="Calibri"/>
                <w:b/>
              </w:rPr>
            </w:pPr>
            <w:r w:rsidRPr="008675CA">
              <w:rPr>
                <w:rFonts w:asciiTheme="majorHAnsi" w:eastAsia="Times New Roman" w:hAnsiTheme="majorHAnsi" w:cs="Calibri"/>
                <w:b/>
              </w:rPr>
              <w:t>7</w:t>
            </w:r>
          </w:p>
        </w:tc>
        <w:tc>
          <w:tcPr>
            <w:tcW w:w="3547" w:type="pct"/>
            <w:shd w:val="clear" w:color="auto" w:fill="auto"/>
            <w:noWrap/>
            <w:vAlign w:val="bottom"/>
          </w:tcPr>
          <w:p w14:paraId="438260B2" w14:textId="77777777" w:rsidR="00AF0C5F" w:rsidRPr="008675CA" w:rsidRDefault="00AF0C5F" w:rsidP="00D6100A">
            <w:pPr>
              <w:spacing w:after="0" w:line="276" w:lineRule="auto"/>
              <w:jc w:val="both"/>
              <w:rPr>
                <w:rFonts w:asciiTheme="majorHAnsi" w:eastAsia="Times New Roman" w:hAnsiTheme="majorHAnsi" w:cs="Calibri"/>
                <w:b/>
                <w:lang w:val="en-IN"/>
              </w:rPr>
            </w:pPr>
            <w:r w:rsidRPr="008675CA">
              <w:rPr>
                <w:rFonts w:asciiTheme="majorHAnsi" w:eastAsia="Times New Roman" w:hAnsiTheme="majorHAnsi" w:cs="Calibri"/>
                <w:b/>
                <w:lang w:val="en-IN"/>
              </w:rPr>
              <w:t>Additional IWC as per review of True up order</w:t>
            </w:r>
          </w:p>
        </w:tc>
        <w:tc>
          <w:tcPr>
            <w:tcW w:w="906" w:type="pct"/>
          </w:tcPr>
          <w:p w14:paraId="7BC4745D" w14:textId="77777777" w:rsidR="00AF0C5F" w:rsidRPr="008675CA" w:rsidRDefault="001319A1" w:rsidP="00D6100A">
            <w:pPr>
              <w:spacing w:after="0" w:line="276" w:lineRule="auto"/>
              <w:jc w:val="center"/>
              <w:rPr>
                <w:rFonts w:asciiTheme="majorHAnsi" w:eastAsia="Times New Roman" w:hAnsiTheme="majorHAnsi" w:cs="Calibri"/>
                <w:b/>
              </w:rPr>
            </w:pPr>
            <w:r w:rsidRPr="008675CA">
              <w:rPr>
                <w:rFonts w:asciiTheme="majorHAnsi" w:eastAsia="Times New Roman" w:hAnsiTheme="majorHAnsi" w:cs="Calibri"/>
                <w:b/>
              </w:rPr>
              <w:t>0.18</w:t>
            </w:r>
          </w:p>
        </w:tc>
      </w:tr>
    </w:tbl>
    <w:p w14:paraId="32D7CB02" w14:textId="77777777" w:rsidR="00EC3BC5" w:rsidRPr="00201045" w:rsidRDefault="00EC3BC5" w:rsidP="00F12881">
      <w:pPr>
        <w:pStyle w:val="Style3"/>
      </w:pPr>
    </w:p>
    <w:p w14:paraId="1B93D981" w14:textId="77777777" w:rsidR="00DA77FC" w:rsidRPr="008675CA" w:rsidRDefault="00DA77FC" w:rsidP="00F12881">
      <w:pPr>
        <w:pStyle w:val="Style3"/>
      </w:pPr>
      <w:r w:rsidRPr="008675CA">
        <w:t xml:space="preserve">MePGCL claim additional gap of IWC for NUHEP for FY </w:t>
      </w:r>
      <w:r w:rsidR="001319A1" w:rsidRPr="008675CA">
        <w:t>2020-21</w:t>
      </w:r>
      <w:r w:rsidRPr="008675CA">
        <w:t xml:space="preserve"> as </w:t>
      </w:r>
      <w:r w:rsidR="001319A1" w:rsidRPr="008675CA">
        <w:t>Rs.0.18</w:t>
      </w:r>
      <w:r w:rsidRPr="008675CA">
        <w:t xml:space="preserve"> Cr and request the </w:t>
      </w:r>
      <w:r w:rsidR="00AF0C5F" w:rsidRPr="008675CA">
        <w:t>H</w:t>
      </w:r>
      <w:r w:rsidRPr="008675CA">
        <w:t>on’ble Commission to consider the additional gap as shown above.</w:t>
      </w:r>
    </w:p>
    <w:p w14:paraId="120BF22C" w14:textId="77777777" w:rsidR="00DA77FC" w:rsidRPr="008675CA" w:rsidRDefault="00DA77FC" w:rsidP="00F12881">
      <w:pPr>
        <w:pStyle w:val="Style3"/>
      </w:pPr>
    </w:p>
    <w:p w14:paraId="6F564052" w14:textId="77777777" w:rsidR="00DA77FC" w:rsidRPr="008675CA" w:rsidRDefault="00372DCD" w:rsidP="00F12881">
      <w:pPr>
        <w:pStyle w:val="Style3"/>
      </w:pPr>
      <w:r w:rsidRPr="008675CA">
        <w:t>2</w:t>
      </w:r>
      <w:r w:rsidR="00EC3BC5" w:rsidRPr="008675CA">
        <w:t>.3.</w:t>
      </w:r>
      <w:r w:rsidR="007F275A" w:rsidRPr="008675CA">
        <w:t>5</w:t>
      </w:r>
      <w:r w:rsidR="00EC3BC5" w:rsidRPr="008675CA">
        <w:t xml:space="preserve"> </w:t>
      </w:r>
      <w:r w:rsidR="00DA77FC" w:rsidRPr="008675CA">
        <w:t>Revised ARR &amp; Net Additional Claim in Review for True Up</w:t>
      </w:r>
      <w:r w:rsidR="00AF0C5F" w:rsidRPr="008675CA">
        <w:t xml:space="preserve"> for</w:t>
      </w:r>
      <w:r w:rsidR="00DA77FC" w:rsidRPr="008675CA">
        <w:t xml:space="preserve"> FY </w:t>
      </w:r>
      <w:r w:rsidR="007F275A" w:rsidRPr="008675CA">
        <w:t>2020-21</w:t>
      </w:r>
    </w:p>
    <w:p w14:paraId="5AEE8EC9" w14:textId="77777777" w:rsidR="00DA77FC" w:rsidRPr="00E61C51" w:rsidRDefault="00DA77FC" w:rsidP="00DA77FC">
      <w:pPr>
        <w:pStyle w:val="Caption"/>
        <w:keepNext/>
        <w:spacing w:after="0"/>
        <w:ind w:left="360"/>
        <w:jc w:val="center"/>
        <w:rPr>
          <w:rFonts w:asciiTheme="majorHAnsi" w:hAnsiTheme="majorHAnsi"/>
          <w:b/>
          <w:i w:val="0"/>
          <w:color w:val="auto"/>
          <w:sz w:val="12"/>
          <w:szCs w:val="22"/>
        </w:rPr>
      </w:pPr>
    </w:p>
    <w:p w14:paraId="0CE89EBF" w14:textId="4A3AB8B2" w:rsidR="00DA77FC" w:rsidRPr="008675CA" w:rsidRDefault="00DA77FC" w:rsidP="00DA77FC">
      <w:pPr>
        <w:pStyle w:val="Caption"/>
        <w:keepNext/>
        <w:spacing w:after="0"/>
        <w:ind w:left="360"/>
        <w:jc w:val="center"/>
        <w:rPr>
          <w:rFonts w:asciiTheme="majorHAnsi" w:hAnsiTheme="majorHAnsi"/>
          <w:b/>
          <w:i w:val="0"/>
          <w:color w:val="auto"/>
          <w:sz w:val="22"/>
          <w:szCs w:val="22"/>
        </w:rPr>
      </w:pPr>
      <w:r w:rsidRPr="008675CA">
        <w:rPr>
          <w:rFonts w:asciiTheme="majorHAnsi" w:hAnsiTheme="majorHAnsi"/>
          <w:b/>
          <w:i w:val="0"/>
          <w:color w:val="auto"/>
          <w:sz w:val="22"/>
          <w:szCs w:val="22"/>
        </w:rPr>
        <w:t xml:space="preserve">Table </w:t>
      </w:r>
      <w:r w:rsidR="00D6100A">
        <w:rPr>
          <w:rFonts w:asciiTheme="majorHAnsi" w:hAnsiTheme="majorHAnsi"/>
          <w:b/>
          <w:i w:val="0"/>
          <w:color w:val="auto"/>
          <w:sz w:val="22"/>
          <w:szCs w:val="22"/>
        </w:rPr>
        <w:t>1</w:t>
      </w:r>
      <w:r w:rsidR="003A4ABE">
        <w:rPr>
          <w:rFonts w:asciiTheme="majorHAnsi" w:hAnsiTheme="majorHAnsi"/>
          <w:b/>
          <w:i w:val="0"/>
          <w:color w:val="auto"/>
          <w:sz w:val="22"/>
          <w:szCs w:val="22"/>
        </w:rPr>
        <w:t>4</w:t>
      </w:r>
      <w:r w:rsidRPr="008675CA">
        <w:rPr>
          <w:rFonts w:asciiTheme="majorHAnsi" w:hAnsiTheme="majorHAnsi"/>
          <w:b/>
          <w:i w:val="0"/>
          <w:color w:val="auto"/>
          <w:sz w:val="22"/>
          <w:szCs w:val="22"/>
        </w:rPr>
        <w:t>: Rev</w:t>
      </w:r>
      <w:r w:rsidR="008A1D73">
        <w:rPr>
          <w:rFonts w:asciiTheme="majorHAnsi" w:hAnsiTheme="majorHAnsi"/>
          <w:b/>
          <w:i w:val="0"/>
          <w:color w:val="auto"/>
          <w:sz w:val="22"/>
          <w:szCs w:val="22"/>
        </w:rPr>
        <w:t>ised AFC for NUHEP in Review (</w:t>
      </w:r>
      <w:r w:rsidRPr="008675CA">
        <w:rPr>
          <w:rFonts w:asciiTheme="majorHAnsi" w:hAnsiTheme="majorHAnsi"/>
          <w:b/>
          <w:i w:val="0"/>
          <w:color w:val="auto"/>
          <w:sz w:val="22"/>
          <w:szCs w:val="22"/>
        </w:rPr>
        <w:t>R</w:t>
      </w:r>
      <w:r w:rsidR="008A1D73">
        <w:rPr>
          <w:rFonts w:asciiTheme="majorHAnsi" w:hAnsiTheme="majorHAnsi"/>
          <w:b/>
          <w:i w:val="0"/>
          <w:color w:val="auto"/>
          <w:sz w:val="22"/>
          <w:szCs w:val="22"/>
        </w:rPr>
        <w:t>s in</w:t>
      </w:r>
      <w:r w:rsidRPr="008675CA">
        <w:rPr>
          <w:rFonts w:asciiTheme="majorHAnsi" w:hAnsiTheme="majorHAnsi"/>
          <w:b/>
          <w:i w:val="0"/>
          <w:color w:val="auto"/>
          <w:sz w:val="22"/>
          <w:szCs w:val="22"/>
        </w:rPr>
        <w:t xml:space="preserve"> Cr.)</w:t>
      </w:r>
      <w:r w:rsidR="007F275A" w:rsidRPr="008675CA">
        <w:rPr>
          <w:rFonts w:asciiTheme="majorHAnsi" w:hAnsiTheme="majorHAnsi"/>
          <w:b/>
          <w:i w:val="0"/>
          <w:color w:val="auto"/>
          <w:sz w:val="22"/>
          <w:szCs w:val="22"/>
        </w:rPr>
        <w:t xml:space="preserve"> for </w:t>
      </w:r>
      <w:r w:rsidR="007F275A" w:rsidRPr="008675CA">
        <w:rPr>
          <w:rFonts w:asciiTheme="majorHAnsi" w:eastAsia="Times New Roman" w:hAnsiTheme="majorHAnsi" w:cs="Calibri"/>
          <w:b/>
          <w:i w:val="0"/>
          <w:color w:val="auto"/>
          <w:sz w:val="22"/>
          <w:szCs w:val="22"/>
        </w:rPr>
        <w:t>FY 2020-21</w:t>
      </w:r>
    </w:p>
    <w:tbl>
      <w:tblPr>
        <w:tblW w:w="4684"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gridCol w:w="2305"/>
        <w:gridCol w:w="2192"/>
        <w:gridCol w:w="1455"/>
      </w:tblGrid>
      <w:tr w:rsidR="00AF0C5F" w:rsidRPr="008675CA" w14:paraId="03C92ED9" w14:textId="77777777" w:rsidTr="00AF0C5F">
        <w:trPr>
          <w:trHeight w:val="310"/>
          <w:tblHeader/>
        </w:trPr>
        <w:tc>
          <w:tcPr>
            <w:tcW w:w="1769" w:type="pct"/>
            <w:shd w:val="clear" w:color="auto" w:fill="BFBFBF" w:themeFill="background1" w:themeFillShade="BF"/>
            <w:noWrap/>
            <w:vAlign w:val="center"/>
            <w:hideMark/>
          </w:tcPr>
          <w:p w14:paraId="531EC42D" w14:textId="77777777" w:rsidR="00AF0C5F" w:rsidRPr="008675CA" w:rsidRDefault="00AF0C5F" w:rsidP="003D4573">
            <w:pPr>
              <w:spacing w:after="0" w:line="240" w:lineRule="auto"/>
              <w:ind w:left="-15"/>
              <w:rPr>
                <w:rFonts w:asciiTheme="majorHAnsi" w:eastAsia="Times New Roman" w:hAnsiTheme="majorHAnsi" w:cs="Times New Roman"/>
                <w:b/>
              </w:rPr>
            </w:pPr>
            <w:r w:rsidRPr="008675CA">
              <w:rPr>
                <w:rFonts w:asciiTheme="majorHAnsi" w:hAnsiTheme="majorHAnsi"/>
                <w:b/>
              </w:rPr>
              <w:t>Particulars</w:t>
            </w:r>
          </w:p>
        </w:tc>
        <w:tc>
          <w:tcPr>
            <w:tcW w:w="1251" w:type="pct"/>
            <w:shd w:val="clear" w:color="auto" w:fill="BFBFBF" w:themeFill="background1" w:themeFillShade="BF"/>
            <w:vAlign w:val="center"/>
          </w:tcPr>
          <w:p w14:paraId="5E58D46D" w14:textId="77777777" w:rsidR="00AF0C5F" w:rsidRPr="008675CA" w:rsidRDefault="00AF0C5F" w:rsidP="003D4573">
            <w:pPr>
              <w:spacing w:after="0" w:line="240" w:lineRule="auto"/>
              <w:ind w:left="-29"/>
              <w:jc w:val="center"/>
              <w:rPr>
                <w:rFonts w:asciiTheme="majorHAnsi" w:eastAsia="Times New Roman" w:hAnsiTheme="majorHAnsi" w:cs="Calibri"/>
                <w:b/>
              </w:rPr>
            </w:pPr>
            <w:r w:rsidRPr="008675CA">
              <w:rPr>
                <w:rFonts w:asciiTheme="majorHAnsi" w:eastAsia="Times New Roman" w:hAnsiTheme="majorHAnsi" w:cs="Calibri"/>
                <w:b/>
              </w:rPr>
              <w:t>AFC of NUHEP as per Review</w:t>
            </w:r>
          </w:p>
        </w:tc>
        <w:tc>
          <w:tcPr>
            <w:tcW w:w="1190" w:type="pct"/>
            <w:shd w:val="clear" w:color="auto" w:fill="BFBFBF" w:themeFill="background1" w:themeFillShade="BF"/>
            <w:vAlign w:val="center"/>
          </w:tcPr>
          <w:p w14:paraId="10DA50E3" w14:textId="77777777" w:rsidR="00AF0C5F" w:rsidRPr="008675CA" w:rsidRDefault="007F275A" w:rsidP="007F275A">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 xml:space="preserve">AFC as per </w:t>
            </w:r>
            <w:r w:rsidR="00AF0C5F" w:rsidRPr="008675CA">
              <w:rPr>
                <w:rFonts w:asciiTheme="majorHAnsi" w:eastAsia="Times New Roman" w:hAnsiTheme="majorHAnsi" w:cs="Calibri"/>
                <w:b/>
              </w:rPr>
              <w:t>True up Order</w:t>
            </w:r>
          </w:p>
        </w:tc>
        <w:tc>
          <w:tcPr>
            <w:tcW w:w="790" w:type="pct"/>
            <w:shd w:val="clear" w:color="auto" w:fill="BFBFBF" w:themeFill="background1" w:themeFillShade="BF"/>
            <w:vAlign w:val="center"/>
          </w:tcPr>
          <w:p w14:paraId="225DCE89" w14:textId="77777777" w:rsidR="00AF0C5F" w:rsidRPr="008675CA" w:rsidRDefault="00AF0C5F" w:rsidP="003D4573">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Gap/(Surplus)</w:t>
            </w:r>
          </w:p>
        </w:tc>
      </w:tr>
      <w:tr w:rsidR="00AF0C5F" w:rsidRPr="008675CA" w14:paraId="74C67A02" w14:textId="77777777" w:rsidTr="00AF0C5F">
        <w:trPr>
          <w:trHeight w:val="310"/>
        </w:trPr>
        <w:tc>
          <w:tcPr>
            <w:tcW w:w="1769" w:type="pct"/>
            <w:shd w:val="clear" w:color="auto" w:fill="auto"/>
            <w:vAlign w:val="center"/>
            <w:hideMark/>
          </w:tcPr>
          <w:p w14:paraId="5816DC79" w14:textId="77777777" w:rsidR="00AF0C5F" w:rsidRPr="008675CA" w:rsidRDefault="007F275A"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Return on Equity</w:t>
            </w:r>
          </w:p>
        </w:tc>
        <w:tc>
          <w:tcPr>
            <w:tcW w:w="1251" w:type="pct"/>
          </w:tcPr>
          <w:p w14:paraId="0014FD28" w14:textId="77777777" w:rsidR="00AF0C5F" w:rsidRPr="008675CA" w:rsidRDefault="007F275A" w:rsidP="007F275A">
            <w:pPr>
              <w:spacing w:after="0"/>
              <w:jc w:val="center"/>
              <w:rPr>
                <w:rFonts w:asciiTheme="majorHAnsi" w:hAnsiTheme="majorHAnsi" w:cs="Calibri"/>
              </w:rPr>
            </w:pPr>
            <w:r w:rsidRPr="008675CA">
              <w:rPr>
                <w:rFonts w:asciiTheme="majorHAnsi" w:hAnsiTheme="majorHAnsi" w:cs="Calibri"/>
              </w:rPr>
              <w:t>23.04</w:t>
            </w:r>
          </w:p>
        </w:tc>
        <w:tc>
          <w:tcPr>
            <w:tcW w:w="1190" w:type="pct"/>
          </w:tcPr>
          <w:p w14:paraId="404089EC" w14:textId="77777777" w:rsidR="00AF0C5F" w:rsidRPr="008675CA" w:rsidRDefault="007F275A" w:rsidP="003D4573">
            <w:pPr>
              <w:spacing w:after="0"/>
              <w:jc w:val="center"/>
              <w:rPr>
                <w:rFonts w:asciiTheme="majorHAnsi" w:hAnsiTheme="majorHAnsi" w:cs="Calibri"/>
              </w:rPr>
            </w:pPr>
            <w:r w:rsidRPr="008675CA">
              <w:rPr>
                <w:rFonts w:asciiTheme="majorHAnsi" w:hAnsiTheme="majorHAnsi" w:cs="Calibri"/>
              </w:rPr>
              <w:t>20.76</w:t>
            </w:r>
          </w:p>
        </w:tc>
        <w:tc>
          <w:tcPr>
            <w:tcW w:w="790" w:type="pct"/>
          </w:tcPr>
          <w:p w14:paraId="06F80AE4" w14:textId="61861DFC" w:rsidR="00AF0C5F" w:rsidRPr="008675CA" w:rsidRDefault="003A4ABE" w:rsidP="003A4ABE">
            <w:pPr>
              <w:spacing w:after="0"/>
              <w:jc w:val="center"/>
              <w:rPr>
                <w:rFonts w:asciiTheme="majorHAnsi" w:hAnsiTheme="majorHAnsi" w:cs="Calibri"/>
              </w:rPr>
            </w:pPr>
            <w:r>
              <w:rPr>
                <w:rFonts w:asciiTheme="majorHAnsi" w:hAnsiTheme="majorHAnsi" w:cs="Calibri"/>
              </w:rPr>
              <w:t>2.28</w:t>
            </w:r>
          </w:p>
        </w:tc>
      </w:tr>
      <w:tr w:rsidR="00AF0C5F" w:rsidRPr="008675CA" w14:paraId="75AF1B5E" w14:textId="77777777" w:rsidTr="00AF0C5F">
        <w:trPr>
          <w:trHeight w:val="310"/>
        </w:trPr>
        <w:tc>
          <w:tcPr>
            <w:tcW w:w="1769" w:type="pct"/>
            <w:shd w:val="clear" w:color="auto" w:fill="auto"/>
            <w:vAlign w:val="center"/>
            <w:hideMark/>
          </w:tcPr>
          <w:p w14:paraId="7D438CDE" w14:textId="77777777" w:rsidR="00AF0C5F" w:rsidRPr="008675CA" w:rsidRDefault="00AF0C5F"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Depreciation</w:t>
            </w:r>
          </w:p>
        </w:tc>
        <w:tc>
          <w:tcPr>
            <w:tcW w:w="1251" w:type="pct"/>
          </w:tcPr>
          <w:p w14:paraId="23802174" w14:textId="77777777" w:rsidR="00AF0C5F" w:rsidRPr="008675CA" w:rsidRDefault="007F275A" w:rsidP="003D4573">
            <w:pPr>
              <w:spacing w:after="0"/>
              <w:jc w:val="center"/>
              <w:rPr>
                <w:rFonts w:asciiTheme="majorHAnsi" w:hAnsiTheme="majorHAnsi" w:cs="Calibri"/>
              </w:rPr>
            </w:pPr>
            <w:r w:rsidRPr="008675CA">
              <w:rPr>
                <w:rFonts w:asciiTheme="majorHAnsi" w:hAnsiTheme="majorHAnsi" w:cs="Calibri"/>
              </w:rPr>
              <w:t>29.38</w:t>
            </w:r>
          </w:p>
        </w:tc>
        <w:tc>
          <w:tcPr>
            <w:tcW w:w="1190" w:type="pct"/>
          </w:tcPr>
          <w:p w14:paraId="05901BE9" w14:textId="77777777" w:rsidR="00AF0C5F" w:rsidRPr="008675CA" w:rsidRDefault="007F275A" w:rsidP="003D4573">
            <w:pPr>
              <w:spacing w:after="0"/>
              <w:jc w:val="center"/>
              <w:rPr>
                <w:rFonts w:asciiTheme="majorHAnsi" w:hAnsiTheme="majorHAnsi" w:cs="Calibri"/>
              </w:rPr>
            </w:pPr>
            <w:r w:rsidRPr="008675CA">
              <w:rPr>
                <w:rFonts w:asciiTheme="majorHAnsi" w:hAnsiTheme="majorHAnsi" w:cs="Calibri"/>
              </w:rPr>
              <w:t>25.66</w:t>
            </w:r>
          </w:p>
        </w:tc>
        <w:tc>
          <w:tcPr>
            <w:tcW w:w="790" w:type="pct"/>
          </w:tcPr>
          <w:p w14:paraId="048B790A" w14:textId="395A0BF0" w:rsidR="00AF0C5F" w:rsidRPr="008675CA" w:rsidRDefault="003A4ABE" w:rsidP="003D4573">
            <w:pPr>
              <w:spacing w:after="0"/>
              <w:jc w:val="center"/>
              <w:rPr>
                <w:rFonts w:asciiTheme="majorHAnsi" w:hAnsiTheme="majorHAnsi" w:cs="Calibri"/>
              </w:rPr>
            </w:pPr>
            <w:r>
              <w:rPr>
                <w:rFonts w:asciiTheme="majorHAnsi" w:hAnsiTheme="majorHAnsi" w:cs="Calibri"/>
              </w:rPr>
              <w:t>3.72</w:t>
            </w:r>
          </w:p>
        </w:tc>
      </w:tr>
      <w:tr w:rsidR="00AF0C5F" w:rsidRPr="008675CA" w14:paraId="3D1838D5" w14:textId="77777777" w:rsidTr="00AF0C5F">
        <w:trPr>
          <w:trHeight w:val="310"/>
        </w:trPr>
        <w:tc>
          <w:tcPr>
            <w:tcW w:w="1769" w:type="pct"/>
            <w:shd w:val="clear" w:color="auto" w:fill="auto"/>
            <w:vAlign w:val="center"/>
            <w:hideMark/>
          </w:tcPr>
          <w:p w14:paraId="59B9E1D4" w14:textId="77777777" w:rsidR="00AF0C5F" w:rsidRPr="008675CA" w:rsidRDefault="00AF0C5F"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Interest &amp; Finance charges</w:t>
            </w:r>
          </w:p>
        </w:tc>
        <w:tc>
          <w:tcPr>
            <w:tcW w:w="1251" w:type="pct"/>
          </w:tcPr>
          <w:p w14:paraId="4B196572" w14:textId="77777777" w:rsidR="00AF0C5F" w:rsidRPr="008675CA" w:rsidRDefault="007F275A" w:rsidP="003D4573">
            <w:pPr>
              <w:spacing w:after="0"/>
              <w:jc w:val="center"/>
              <w:rPr>
                <w:rFonts w:asciiTheme="majorHAnsi" w:hAnsiTheme="majorHAnsi" w:cs="Calibri"/>
              </w:rPr>
            </w:pPr>
            <w:r w:rsidRPr="008675CA">
              <w:rPr>
                <w:rFonts w:asciiTheme="majorHAnsi" w:hAnsiTheme="majorHAnsi" w:cs="Calibri"/>
              </w:rPr>
              <w:t>32.32</w:t>
            </w:r>
          </w:p>
        </w:tc>
        <w:tc>
          <w:tcPr>
            <w:tcW w:w="1190" w:type="pct"/>
          </w:tcPr>
          <w:p w14:paraId="2855A1AE" w14:textId="77777777" w:rsidR="00AF0C5F" w:rsidRPr="008675CA" w:rsidRDefault="007F275A" w:rsidP="003D4573">
            <w:pPr>
              <w:spacing w:after="0"/>
              <w:jc w:val="center"/>
              <w:rPr>
                <w:rFonts w:asciiTheme="majorHAnsi" w:hAnsiTheme="majorHAnsi" w:cs="Calibri"/>
              </w:rPr>
            </w:pPr>
            <w:r w:rsidRPr="008675CA">
              <w:rPr>
                <w:rFonts w:asciiTheme="majorHAnsi" w:hAnsiTheme="majorHAnsi" w:cs="Calibri"/>
              </w:rPr>
              <w:t>32.32</w:t>
            </w:r>
          </w:p>
        </w:tc>
        <w:tc>
          <w:tcPr>
            <w:tcW w:w="790" w:type="pct"/>
          </w:tcPr>
          <w:p w14:paraId="78284CD3" w14:textId="77777777" w:rsidR="00AF0C5F" w:rsidRPr="008675CA" w:rsidRDefault="00AF0C5F" w:rsidP="003D4573">
            <w:pPr>
              <w:spacing w:after="0"/>
              <w:jc w:val="center"/>
              <w:rPr>
                <w:rFonts w:asciiTheme="majorHAnsi" w:hAnsiTheme="majorHAnsi" w:cs="Calibri"/>
              </w:rPr>
            </w:pPr>
            <w:r w:rsidRPr="008675CA">
              <w:rPr>
                <w:rFonts w:asciiTheme="majorHAnsi" w:hAnsiTheme="majorHAnsi" w:cs="Calibri"/>
              </w:rPr>
              <w:t>0</w:t>
            </w:r>
          </w:p>
        </w:tc>
      </w:tr>
      <w:tr w:rsidR="00AF0C5F" w:rsidRPr="008675CA" w14:paraId="31143747" w14:textId="77777777" w:rsidTr="00AF0C5F">
        <w:trPr>
          <w:trHeight w:val="310"/>
        </w:trPr>
        <w:tc>
          <w:tcPr>
            <w:tcW w:w="1769" w:type="pct"/>
            <w:shd w:val="clear" w:color="auto" w:fill="auto"/>
            <w:vAlign w:val="center"/>
            <w:hideMark/>
          </w:tcPr>
          <w:p w14:paraId="654918B8" w14:textId="77777777" w:rsidR="00AF0C5F" w:rsidRPr="008675CA" w:rsidRDefault="007F275A"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O&amp;M Expenses</w:t>
            </w:r>
          </w:p>
        </w:tc>
        <w:tc>
          <w:tcPr>
            <w:tcW w:w="1251" w:type="pct"/>
          </w:tcPr>
          <w:p w14:paraId="404646C7" w14:textId="77777777" w:rsidR="00AF0C5F" w:rsidRPr="008675CA" w:rsidRDefault="007F275A" w:rsidP="007F275A">
            <w:pPr>
              <w:spacing w:after="0"/>
              <w:jc w:val="center"/>
              <w:rPr>
                <w:rFonts w:asciiTheme="majorHAnsi" w:hAnsiTheme="majorHAnsi" w:cs="Calibri"/>
              </w:rPr>
            </w:pPr>
            <w:r w:rsidRPr="008675CA">
              <w:rPr>
                <w:rFonts w:asciiTheme="majorHAnsi" w:hAnsiTheme="majorHAnsi" w:cs="Calibri"/>
              </w:rPr>
              <w:t xml:space="preserve">13.72 </w:t>
            </w:r>
          </w:p>
        </w:tc>
        <w:tc>
          <w:tcPr>
            <w:tcW w:w="1190" w:type="pct"/>
          </w:tcPr>
          <w:p w14:paraId="63160467" w14:textId="77777777" w:rsidR="00AF0C5F" w:rsidRPr="008675CA" w:rsidRDefault="007F275A" w:rsidP="003D4573">
            <w:pPr>
              <w:spacing w:after="0"/>
              <w:jc w:val="center"/>
              <w:rPr>
                <w:rFonts w:asciiTheme="majorHAnsi" w:hAnsiTheme="majorHAnsi" w:cs="Calibri"/>
              </w:rPr>
            </w:pPr>
            <w:r w:rsidRPr="008675CA">
              <w:rPr>
                <w:rFonts w:asciiTheme="majorHAnsi" w:hAnsiTheme="majorHAnsi" w:cs="Calibri"/>
              </w:rPr>
              <w:t>13.72</w:t>
            </w:r>
          </w:p>
        </w:tc>
        <w:tc>
          <w:tcPr>
            <w:tcW w:w="790" w:type="pct"/>
          </w:tcPr>
          <w:p w14:paraId="5EB3C187" w14:textId="33B3FD17" w:rsidR="00AF0C5F" w:rsidRPr="008675CA" w:rsidRDefault="003A4ABE" w:rsidP="003D4573">
            <w:pPr>
              <w:spacing w:after="0"/>
              <w:jc w:val="center"/>
              <w:rPr>
                <w:rFonts w:asciiTheme="majorHAnsi" w:hAnsiTheme="majorHAnsi" w:cs="Calibri"/>
              </w:rPr>
            </w:pPr>
            <w:r>
              <w:rPr>
                <w:rFonts w:asciiTheme="majorHAnsi" w:hAnsiTheme="majorHAnsi" w:cs="Calibri"/>
              </w:rPr>
              <w:t>0.00</w:t>
            </w:r>
          </w:p>
        </w:tc>
      </w:tr>
      <w:tr w:rsidR="00AF0C5F" w:rsidRPr="008675CA" w14:paraId="36583642" w14:textId="77777777" w:rsidTr="00AF0C5F">
        <w:trPr>
          <w:trHeight w:val="310"/>
        </w:trPr>
        <w:tc>
          <w:tcPr>
            <w:tcW w:w="1769" w:type="pct"/>
            <w:shd w:val="clear" w:color="auto" w:fill="auto"/>
            <w:vAlign w:val="center"/>
            <w:hideMark/>
          </w:tcPr>
          <w:p w14:paraId="6F997376" w14:textId="77777777" w:rsidR="00AF0C5F" w:rsidRPr="008675CA" w:rsidRDefault="007F275A"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Interest on Working Capital</w:t>
            </w:r>
          </w:p>
        </w:tc>
        <w:tc>
          <w:tcPr>
            <w:tcW w:w="1251" w:type="pct"/>
          </w:tcPr>
          <w:p w14:paraId="6CEF5972" w14:textId="77777777" w:rsidR="00AF0C5F" w:rsidRPr="008675CA" w:rsidRDefault="007F275A" w:rsidP="00AF0C5F">
            <w:pPr>
              <w:spacing w:after="0"/>
              <w:jc w:val="center"/>
              <w:rPr>
                <w:rFonts w:asciiTheme="majorHAnsi" w:hAnsiTheme="majorHAnsi" w:cs="Calibri"/>
              </w:rPr>
            </w:pPr>
            <w:r w:rsidRPr="008675CA">
              <w:rPr>
                <w:rFonts w:asciiTheme="majorHAnsi" w:hAnsiTheme="majorHAnsi" w:cs="Calibri"/>
              </w:rPr>
              <w:t>2.60</w:t>
            </w:r>
          </w:p>
        </w:tc>
        <w:tc>
          <w:tcPr>
            <w:tcW w:w="1190" w:type="pct"/>
          </w:tcPr>
          <w:p w14:paraId="354753B0" w14:textId="77777777" w:rsidR="00AF0C5F" w:rsidRPr="008675CA" w:rsidRDefault="007F275A" w:rsidP="003D4573">
            <w:pPr>
              <w:spacing w:after="0"/>
              <w:jc w:val="center"/>
              <w:rPr>
                <w:rFonts w:asciiTheme="majorHAnsi" w:hAnsiTheme="majorHAnsi" w:cs="Calibri"/>
              </w:rPr>
            </w:pPr>
            <w:r w:rsidRPr="008675CA">
              <w:rPr>
                <w:rFonts w:asciiTheme="majorHAnsi" w:hAnsiTheme="majorHAnsi" w:cs="Calibri"/>
              </w:rPr>
              <w:t>2.42</w:t>
            </w:r>
          </w:p>
        </w:tc>
        <w:tc>
          <w:tcPr>
            <w:tcW w:w="790" w:type="pct"/>
          </w:tcPr>
          <w:p w14:paraId="0C6268B9" w14:textId="0B9D1D80" w:rsidR="00AF0C5F" w:rsidRPr="008675CA" w:rsidRDefault="003A4ABE" w:rsidP="003D4573">
            <w:pPr>
              <w:spacing w:after="0"/>
              <w:jc w:val="center"/>
              <w:rPr>
                <w:rFonts w:asciiTheme="majorHAnsi" w:hAnsiTheme="majorHAnsi" w:cs="Calibri"/>
              </w:rPr>
            </w:pPr>
            <w:r>
              <w:rPr>
                <w:rFonts w:asciiTheme="majorHAnsi" w:hAnsiTheme="majorHAnsi" w:cs="Calibri"/>
              </w:rPr>
              <w:t>0.18</w:t>
            </w:r>
          </w:p>
        </w:tc>
      </w:tr>
      <w:tr w:rsidR="00AF0C5F" w:rsidRPr="008675CA" w14:paraId="7E978FD4" w14:textId="77777777" w:rsidTr="00AF0C5F">
        <w:trPr>
          <w:trHeight w:val="310"/>
        </w:trPr>
        <w:tc>
          <w:tcPr>
            <w:tcW w:w="1769" w:type="pct"/>
            <w:shd w:val="clear" w:color="auto" w:fill="auto"/>
            <w:vAlign w:val="center"/>
            <w:hideMark/>
          </w:tcPr>
          <w:p w14:paraId="71264C87" w14:textId="77777777" w:rsidR="00AF0C5F" w:rsidRPr="008675CA" w:rsidRDefault="00AF0C5F"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SLDC Charges</w:t>
            </w:r>
          </w:p>
        </w:tc>
        <w:tc>
          <w:tcPr>
            <w:tcW w:w="1251" w:type="pct"/>
          </w:tcPr>
          <w:p w14:paraId="6552CCFA" w14:textId="77777777" w:rsidR="00AF0C5F" w:rsidRPr="008675CA" w:rsidRDefault="00AF0C5F" w:rsidP="003D4573">
            <w:pPr>
              <w:spacing w:after="0"/>
              <w:jc w:val="center"/>
              <w:rPr>
                <w:rFonts w:asciiTheme="majorHAnsi" w:hAnsiTheme="majorHAnsi" w:cs="Calibri"/>
              </w:rPr>
            </w:pPr>
            <w:r w:rsidRPr="008675CA">
              <w:rPr>
                <w:rFonts w:asciiTheme="majorHAnsi" w:hAnsiTheme="majorHAnsi" w:cs="Calibri"/>
              </w:rPr>
              <w:t>-</w:t>
            </w:r>
          </w:p>
        </w:tc>
        <w:tc>
          <w:tcPr>
            <w:tcW w:w="1190" w:type="pct"/>
          </w:tcPr>
          <w:p w14:paraId="348E8F6D" w14:textId="77777777" w:rsidR="00AF0C5F" w:rsidRPr="008675CA" w:rsidRDefault="00AF0C5F" w:rsidP="003D4573">
            <w:pPr>
              <w:spacing w:after="0"/>
              <w:jc w:val="center"/>
              <w:rPr>
                <w:rFonts w:asciiTheme="majorHAnsi" w:hAnsiTheme="majorHAnsi" w:cs="Calibri"/>
              </w:rPr>
            </w:pPr>
            <w:r w:rsidRPr="008675CA">
              <w:rPr>
                <w:rFonts w:asciiTheme="majorHAnsi" w:hAnsiTheme="majorHAnsi" w:cs="Calibri"/>
              </w:rPr>
              <w:t>-</w:t>
            </w:r>
          </w:p>
        </w:tc>
        <w:tc>
          <w:tcPr>
            <w:tcW w:w="790" w:type="pct"/>
          </w:tcPr>
          <w:p w14:paraId="5C21250F" w14:textId="77777777" w:rsidR="00AF0C5F" w:rsidRPr="008675CA" w:rsidRDefault="00AF0C5F" w:rsidP="003D4573">
            <w:pPr>
              <w:spacing w:after="0"/>
              <w:jc w:val="center"/>
              <w:rPr>
                <w:rFonts w:asciiTheme="majorHAnsi" w:hAnsiTheme="majorHAnsi" w:cs="Calibri"/>
              </w:rPr>
            </w:pPr>
            <w:r w:rsidRPr="008675CA">
              <w:rPr>
                <w:rFonts w:asciiTheme="majorHAnsi" w:hAnsiTheme="majorHAnsi" w:cs="Calibri"/>
              </w:rPr>
              <w:t>-</w:t>
            </w:r>
          </w:p>
        </w:tc>
      </w:tr>
      <w:tr w:rsidR="00AF0C5F" w:rsidRPr="008675CA" w14:paraId="0F10AA98" w14:textId="77777777" w:rsidTr="00AF0C5F">
        <w:trPr>
          <w:trHeight w:val="310"/>
        </w:trPr>
        <w:tc>
          <w:tcPr>
            <w:tcW w:w="1769" w:type="pct"/>
            <w:shd w:val="clear" w:color="auto" w:fill="auto"/>
            <w:vAlign w:val="center"/>
            <w:hideMark/>
          </w:tcPr>
          <w:p w14:paraId="1775C0FD" w14:textId="77777777" w:rsidR="00AF0C5F" w:rsidRPr="008675CA" w:rsidRDefault="00AF0C5F"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Net Prior Period items</w:t>
            </w:r>
          </w:p>
        </w:tc>
        <w:tc>
          <w:tcPr>
            <w:tcW w:w="1251" w:type="pct"/>
          </w:tcPr>
          <w:p w14:paraId="1B795EE3" w14:textId="77777777" w:rsidR="00AF0C5F" w:rsidRPr="008675CA" w:rsidRDefault="00AF0C5F" w:rsidP="003D4573">
            <w:pPr>
              <w:spacing w:after="0"/>
              <w:jc w:val="center"/>
              <w:rPr>
                <w:rFonts w:asciiTheme="majorHAnsi" w:hAnsiTheme="majorHAnsi" w:cs="Calibri"/>
              </w:rPr>
            </w:pPr>
            <w:r w:rsidRPr="008675CA">
              <w:rPr>
                <w:rFonts w:asciiTheme="majorHAnsi" w:hAnsiTheme="majorHAnsi" w:cs="Calibri"/>
              </w:rPr>
              <w:t>0</w:t>
            </w:r>
          </w:p>
        </w:tc>
        <w:tc>
          <w:tcPr>
            <w:tcW w:w="1190" w:type="pct"/>
          </w:tcPr>
          <w:p w14:paraId="1A39EE0E" w14:textId="77777777" w:rsidR="00AF0C5F" w:rsidRPr="008675CA" w:rsidRDefault="00AF0C5F" w:rsidP="003D4573">
            <w:pPr>
              <w:spacing w:after="0"/>
              <w:jc w:val="center"/>
              <w:rPr>
                <w:rFonts w:asciiTheme="majorHAnsi" w:hAnsiTheme="majorHAnsi" w:cs="Calibri"/>
              </w:rPr>
            </w:pPr>
            <w:r w:rsidRPr="008675CA">
              <w:rPr>
                <w:rFonts w:asciiTheme="majorHAnsi" w:hAnsiTheme="majorHAnsi" w:cs="Calibri"/>
              </w:rPr>
              <w:t>0</w:t>
            </w:r>
          </w:p>
        </w:tc>
        <w:tc>
          <w:tcPr>
            <w:tcW w:w="790" w:type="pct"/>
          </w:tcPr>
          <w:p w14:paraId="3B6E3C6B" w14:textId="77777777" w:rsidR="00AF0C5F" w:rsidRPr="008675CA" w:rsidRDefault="00AF0C5F" w:rsidP="003D4573">
            <w:pPr>
              <w:spacing w:after="0"/>
              <w:jc w:val="center"/>
              <w:rPr>
                <w:rFonts w:asciiTheme="majorHAnsi" w:hAnsiTheme="majorHAnsi" w:cs="Calibri"/>
              </w:rPr>
            </w:pPr>
            <w:r w:rsidRPr="008675CA">
              <w:rPr>
                <w:rFonts w:asciiTheme="majorHAnsi" w:hAnsiTheme="majorHAnsi" w:cs="Calibri"/>
              </w:rPr>
              <w:t>0</w:t>
            </w:r>
          </w:p>
        </w:tc>
      </w:tr>
      <w:tr w:rsidR="00AF0C5F" w:rsidRPr="008675CA" w14:paraId="77D6FBA4" w14:textId="77777777" w:rsidTr="00AF0C5F">
        <w:trPr>
          <w:trHeight w:val="310"/>
        </w:trPr>
        <w:tc>
          <w:tcPr>
            <w:tcW w:w="1769" w:type="pct"/>
            <w:shd w:val="clear" w:color="auto" w:fill="auto"/>
            <w:vAlign w:val="center"/>
            <w:hideMark/>
          </w:tcPr>
          <w:p w14:paraId="0D6D34E8" w14:textId="77777777" w:rsidR="00AF0C5F" w:rsidRPr="008675CA" w:rsidRDefault="00AF0C5F" w:rsidP="003D4573">
            <w:pPr>
              <w:spacing w:after="0" w:line="240" w:lineRule="auto"/>
              <w:ind w:left="-15"/>
              <w:rPr>
                <w:rFonts w:asciiTheme="majorHAnsi" w:eastAsia="Times New Roman" w:hAnsiTheme="majorHAnsi" w:cs="Calibri"/>
                <w:b/>
                <w:bCs/>
              </w:rPr>
            </w:pPr>
            <w:r w:rsidRPr="008675CA">
              <w:rPr>
                <w:rFonts w:asciiTheme="majorHAnsi" w:eastAsia="Times New Roman" w:hAnsiTheme="majorHAnsi" w:cs="Calibri"/>
                <w:b/>
                <w:bCs/>
              </w:rPr>
              <w:t>Gross AFC</w:t>
            </w:r>
          </w:p>
        </w:tc>
        <w:tc>
          <w:tcPr>
            <w:tcW w:w="1251" w:type="pct"/>
          </w:tcPr>
          <w:p w14:paraId="319357C9" w14:textId="77777777" w:rsidR="00AF0C5F" w:rsidRPr="008675CA" w:rsidRDefault="007F275A" w:rsidP="003D4573">
            <w:pPr>
              <w:spacing w:after="0"/>
              <w:jc w:val="center"/>
              <w:rPr>
                <w:rFonts w:asciiTheme="majorHAnsi" w:hAnsiTheme="majorHAnsi" w:cs="Calibri"/>
                <w:b/>
              </w:rPr>
            </w:pPr>
            <w:r w:rsidRPr="008675CA">
              <w:rPr>
                <w:rFonts w:asciiTheme="majorHAnsi" w:hAnsiTheme="majorHAnsi" w:cs="Calibri"/>
                <w:b/>
              </w:rPr>
              <w:t>101.06</w:t>
            </w:r>
          </w:p>
        </w:tc>
        <w:tc>
          <w:tcPr>
            <w:tcW w:w="1190" w:type="pct"/>
          </w:tcPr>
          <w:p w14:paraId="7C9B9A00" w14:textId="77777777" w:rsidR="00AF0C5F" w:rsidRPr="008675CA" w:rsidRDefault="007F275A" w:rsidP="003D4573">
            <w:pPr>
              <w:spacing w:after="0"/>
              <w:jc w:val="center"/>
              <w:rPr>
                <w:rFonts w:asciiTheme="majorHAnsi" w:hAnsiTheme="majorHAnsi" w:cs="Calibri"/>
                <w:b/>
              </w:rPr>
            </w:pPr>
            <w:r w:rsidRPr="008675CA">
              <w:rPr>
                <w:rFonts w:asciiTheme="majorHAnsi" w:hAnsiTheme="majorHAnsi" w:cs="Calibri"/>
                <w:b/>
              </w:rPr>
              <w:t>94.88</w:t>
            </w:r>
          </w:p>
        </w:tc>
        <w:tc>
          <w:tcPr>
            <w:tcW w:w="790" w:type="pct"/>
          </w:tcPr>
          <w:p w14:paraId="786FE5FC" w14:textId="77777777" w:rsidR="00AF0C5F" w:rsidRPr="008675CA" w:rsidRDefault="00AF0C5F" w:rsidP="003D4573">
            <w:pPr>
              <w:spacing w:after="0"/>
              <w:jc w:val="center"/>
              <w:rPr>
                <w:rFonts w:asciiTheme="majorHAnsi" w:hAnsiTheme="majorHAnsi" w:cs="Calibri"/>
                <w:b/>
              </w:rPr>
            </w:pPr>
          </w:p>
        </w:tc>
      </w:tr>
      <w:tr w:rsidR="00AF0C5F" w:rsidRPr="008675CA" w14:paraId="5446BDCB" w14:textId="77777777" w:rsidTr="00AF0C5F">
        <w:trPr>
          <w:trHeight w:val="310"/>
        </w:trPr>
        <w:tc>
          <w:tcPr>
            <w:tcW w:w="1769" w:type="pct"/>
            <w:shd w:val="clear" w:color="auto" w:fill="auto"/>
            <w:vAlign w:val="center"/>
            <w:hideMark/>
          </w:tcPr>
          <w:p w14:paraId="0D80AF9A" w14:textId="77777777" w:rsidR="00AF0C5F" w:rsidRPr="008675CA" w:rsidRDefault="00AF0C5F" w:rsidP="003D4573">
            <w:pPr>
              <w:spacing w:after="0" w:line="240" w:lineRule="auto"/>
              <w:ind w:left="-15"/>
              <w:rPr>
                <w:rFonts w:asciiTheme="majorHAnsi" w:eastAsia="Times New Roman" w:hAnsiTheme="majorHAnsi" w:cs="Calibri"/>
                <w:bCs/>
              </w:rPr>
            </w:pPr>
            <w:r w:rsidRPr="008675CA">
              <w:rPr>
                <w:rFonts w:asciiTheme="majorHAnsi" w:eastAsia="Times New Roman" w:hAnsiTheme="majorHAnsi" w:cs="Calibri"/>
                <w:bCs/>
              </w:rPr>
              <w:lastRenderedPageBreak/>
              <w:t xml:space="preserve">Less: </w:t>
            </w:r>
            <w:r w:rsidRPr="008675CA">
              <w:rPr>
                <w:rFonts w:asciiTheme="majorHAnsi" w:eastAsia="Times New Roman" w:hAnsiTheme="majorHAnsi" w:cs="Calibri"/>
              </w:rPr>
              <w:t>Non-Tariff Income</w:t>
            </w:r>
          </w:p>
        </w:tc>
        <w:tc>
          <w:tcPr>
            <w:tcW w:w="1251" w:type="pct"/>
          </w:tcPr>
          <w:p w14:paraId="1CDD6583" w14:textId="77777777" w:rsidR="00AF0C5F" w:rsidRPr="008675CA" w:rsidRDefault="00AF0C5F" w:rsidP="003D4573">
            <w:pPr>
              <w:spacing w:after="0"/>
              <w:jc w:val="center"/>
              <w:rPr>
                <w:rFonts w:asciiTheme="majorHAnsi" w:hAnsiTheme="majorHAnsi" w:cs="Calibri"/>
              </w:rPr>
            </w:pPr>
            <w:r w:rsidRPr="008675CA">
              <w:rPr>
                <w:rFonts w:asciiTheme="majorHAnsi" w:hAnsiTheme="majorHAnsi" w:cs="Calibri"/>
              </w:rPr>
              <w:t>0</w:t>
            </w:r>
            <w:r w:rsidR="007F275A" w:rsidRPr="008675CA">
              <w:rPr>
                <w:rFonts w:asciiTheme="majorHAnsi" w:hAnsiTheme="majorHAnsi" w:cs="Calibri"/>
              </w:rPr>
              <w:t>.01</w:t>
            </w:r>
          </w:p>
        </w:tc>
        <w:tc>
          <w:tcPr>
            <w:tcW w:w="1190" w:type="pct"/>
          </w:tcPr>
          <w:p w14:paraId="748C1FC3" w14:textId="77777777" w:rsidR="00AF0C5F" w:rsidRPr="008675CA" w:rsidRDefault="00AF0C5F" w:rsidP="003D4573">
            <w:pPr>
              <w:spacing w:after="0"/>
              <w:jc w:val="center"/>
              <w:rPr>
                <w:rFonts w:asciiTheme="majorHAnsi" w:hAnsiTheme="majorHAnsi" w:cs="Calibri"/>
              </w:rPr>
            </w:pPr>
            <w:r w:rsidRPr="008675CA">
              <w:rPr>
                <w:rFonts w:asciiTheme="majorHAnsi" w:hAnsiTheme="majorHAnsi" w:cs="Calibri"/>
              </w:rPr>
              <w:t>0</w:t>
            </w:r>
            <w:r w:rsidR="007F275A" w:rsidRPr="008675CA">
              <w:rPr>
                <w:rFonts w:asciiTheme="majorHAnsi" w:hAnsiTheme="majorHAnsi" w:cs="Calibri"/>
              </w:rPr>
              <w:t>.01</w:t>
            </w:r>
          </w:p>
        </w:tc>
        <w:tc>
          <w:tcPr>
            <w:tcW w:w="790" w:type="pct"/>
          </w:tcPr>
          <w:p w14:paraId="3EAB7F7D" w14:textId="77777777" w:rsidR="00AF0C5F" w:rsidRPr="008675CA" w:rsidRDefault="00AF0C5F" w:rsidP="003D4573">
            <w:pPr>
              <w:spacing w:after="0"/>
              <w:jc w:val="center"/>
              <w:rPr>
                <w:rFonts w:asciiTheme="majorHAnsi" w:hAnsiTheme="majorHAnsi" w:cs="Calibri"/>
              </w:rPr>
            </w:pPr>
            <w:r w:rsidRPr="008675CA">
              <w:rPr>
                <w:rFonts w:asciiTheme="majorHAnsi" w:hAnsiTheme="majorHAnsi" w:cs="Calibri"/>
              </w:rPr>
              <w:t>0</w:t>
            </w:r>
          </w:p>
        </w:tc>
      </w:tr>
      <w:tr w:rsidR="00AF0C5F" w:rsidRPr="008675CA" w14:paraId="3B32DF55" w14:textId="77777777" w:rsidTr="00AF0C5F">
        <w:trPr>
          <w:trHeight w:val="310"/>
        </w:trPr>
        <w:tc>
          <w:tcPr>
            <w:tcW w:w="1769" w:type="pct"/>
            <w:shd w:val="clear" w:color="auto" w:fill="auto"/>
            <w:vAlign w:val="center"/>
          </w:tcPr>
          <w:p w14:paraId="38EBF75A" w14:textId="77777777" w:rsidR="00AF0C5F" w:rsidRPr="008675CA" w:rsidRDefault="00AF0C5F" w:rsidP="003D4573">
            <w:pPr>
              <w:spacing w:after="0" w:line="240" w:lineRule="auto"/>
              <w:ind w:left="-15"/>
              <w:rPr>
                <w:rFonts w:asciiTheme="majorHAnsi" w:eastAsia="Times New Roman" w:hAnsiTheme="majorHAnsi" w:cs="Calibri"/>
                <w:bCs/>
              </w:rPr>
            </w:pPr>
            <w:r w:rsidRPr="008675CA">
              <w:rPr>
                <w:rFonts w:asciiTheme="majorHAnsi" w:eastAsia="Times New Roman" w:hAnsiTheme="majorHAnsi" w:cs="Calibri"/>
                <w:bCs/>
              </w:rPr>
              <w:t>Less: Amortization of Grants</w:t>
            </w:r>
          </w:p>
        </w:tc>
        <w:tc>
          <w:tcPr>
            <w:tcW w:w="1251" w:type="pct"/>
          </w:tcPr>
          <w:p w14:paraId="4F7D1308" w14:textId="77777777" w:rsidR="00AF0C5F" w:rsidRPr="008675CA" w:rsidRDefault="00AF0C5F" w:rsidP="003D4573">
            <w:pPr>
              <w:spacing w:after="0"/>
              <w:jc w:val="center"/>
              <w:rPr>
                <w:rFonts w:asciiTheme="majorHAnsi" w:hAnsiTheme="majorHAnsi" w:cs="Calibri"/>
              </w:rPr>
            </w:pPr>
            <w:r w:rsidRPr="008675CA">
              <w:rPr>
                <w:rFonts w:asciiTheme="majorHAnsi" w:hAnsiTheme="majorHAnsi" w:cs="Calibri"/>
              </w:rPr>
              <w:t>-</w:t>
            </w:r>
          </w:p>
        </w:tc>
        <w:tc>
          <w:tcPr>
            <w:tcW w:w="1190" w:type="pct"/>
          </w:tcPr>
          <w:p w14:paraId="0C5003DC" w14:textId="77777777" w:rsidR="00AF0C5F" w:rsidRPr="008675CA" w:rsidRDefault="00AF0C5F" w:rsidP="003D4573">
            <w:pPr>
              <w:spacing w:after="0"/>
              <w:jc w:val="center"/>
              <w:rPr>
                <w:rFonts w:asciiTheme="majorHAnsi" w:hAnsiTheme="majorHAnsi" w:cs="Calibri"/>
              </w:rPr>
            </w:pPr>
            <w:r w:rsidRPr="008675CA">
              <w:rPr>
                <w:rFonts w:asciiTheme="majorHAnsi" w:hAnsiTheme="majorHAnsi" w:cs="Calibri"/>
              </w:rPr>
              <w:t>-</w:t>
            </w:r>
          </w:p>
        </w:tc>
        <w:tc>
          <w:tcPr>
            <w:tcW w:w="790" w:type="pct"/>
          </w:tcPr>
          <w:p w14:paraId="74B0BC40" w14:textId="77777777" w:rsidR="00AF0C5F" w:rsidRPr="008675CA" w:rsidRDefault="00AF0C5F" w:rsidP="003D4573">
            <w:pPr>
              <w:spacing w:after="0"/>
              <w:jc w:val="center"/>
              <w:rPr>
                <w:rFonts w:asciiTheme="majorHAnsi" w:hAnsiTheme="majorHAnsi" w:cs="Calibri"/>
              </w:rPr>
            </w:pPr>
            <w:r w:rsidRPr="008675CA">
              <w:rPr>
                <w:rFonts w:asciiTheme="majorHAnsi" w:hAnsiTheme="majorHAnsi" w:cs="Calibri"/>
              </w:rPr>
              <w:t>-</w:t>
            </w:r>
          </w:p>
        </w:tc>
      </w:tr>
      <w:tr w:rsidR="00AF0C5F" w:rsidRPr="008675CA" w14:paraId="0961578B" w14:textId="77777777" w:rsidTr="00AF0C5F">
        <w:trPr>
          <w:trHeight w:val="310"/>
        </w:trPr>
        <w:tc>
          <w:tcPr>
            <w:tcW w:w="1769" w:type="pct"/>
            <w:shd w:val="clear" w:color="auto" w:fill="auto"/>
            <w:vAlign w:val="center"/>
            <w:hideMark/>
          </w:tcPr>
          <w:p w14:paraId="29AE91ED" w14:textId="77777777" w:rsidR="00AF0C5F" w:rsidRPr="008675CA" w:rsidRDefault="00AF0C5F" w:rsidP="003D4573">
            <w:pPr>
              <w:spacing w:after="0" w:line="240" w:lineRule="auto"/>
              <w:ind w:left="-15"/>
              <w:rPr>
                <w:rFonts w:asciiTheme="majorHAnsi" w:eastAsia="Times New Roman" w:hAnsiTheme="majorHAnsi" w:cs="Calibri"/>
                <w:b/>
                <w:bCs/>
              </w:rPr>
            </w:pPr>
            <w:r w:rsidRPr="008675CA">
              <w:rPr>
                <w:rFonts w:asciiTheme="majorHAnsi" w:eastAsia="Times New Roman" w:hAnsiTheme="majorHAnsi" w:cs="Calibri"/>
                <w:b/>
                <w:bCs/>
              </w:rPr>
              <w:t>Net AFC</w:t>
            </w:r>
          </w:p>
        </w:tc>
        <w:tc>
          <w:tcPr>
            <w:tcW w:w="1251" w:type="pct"/>
          </w:tcPr>
          <w:p w14:paraId="292106F8" w14:textId="77777777" w:rsidR="00AF0C5F" w:rsidRPr="008675CA" w:rsidRDefault="007F275A" w:rsidP="003D4573">
            <w:pPr>
              <w:spacing w:after="0"/>
              <w:jc w:val="center"/>
              <w:rPr>
                <w:rFonts w:asciiTheme="majorHAnsi" w:hAnsiTheme="majorHAnsi" w:cs="Calibri"/>
                <w:b/>
              </w:rPr>
            </w:pPr>
            <w:r w:rsidRPr="008675CA">
              <w:rPr>
                <w:rFonts w:asciiTheme="majorHAnsi" w:hAnsiTheme="majorHAnsi" w:cs="Calibri"/>
                <w:b/>
              </w:rPr>
              <w:t>101.05</w:t>
            </w:r>
          </w:p>
        </w:tc>
        <w:tc>
          <w:tcPr>
            <w:tcW w:w="1190" w:type="pct"/>
          </w:tcPr>
          <w:p w14:paraId="731511B6" w14:textId="77777777" w:rsidR="00AF0C5F" w:rsidRPr="008675CA" w:rsidRDefault="007F275A" w:rsidP="003D4573">
            <w:pPr>
              <w:spacing w:after="0"/>
              <w:jc w:val="center"/>
              <w:rPr>
                <w:rFonts w:asciiTheme="majorHAnsi" w:hAnsiTheme="majorHAnsi" w:cs="Calibri"/>
                <w:b/>
              </w:rPr>
            </w:pPr>
            <w:r w:rsidRPr="008675CA">
              <w:rPr>
                <w:rFonts w:asciiTheme="majorHAnsi" w:hAnsiTheme="majorHAnsi" w:cs="Calibri"/>
                <w:b/>
              </w:rPr>
              <w:t>94.87</w:t>
            </w:r>
          </w:p>
        </w:tc>
        <w:tc>
          <w:tcPr>
            <w:tcW w:w="790" w:type="pct"/>
          </w:tcPr>
          <w:p w14:paraId="0A55671C" w14:textId="77777777" w:rsidR="00AF0C5F" w:rsidRPr="008675CA" w:rsidRDefault="00AF0C5F" w:rsidP="003D4573">
            <w:pPr>
              <w:spacing w:after="0"/>
              <w:jc w:val="center"/>
              <w:rPr>
                <w:rFonts w:asciiTheme="majorHAnsi" w:hAnsiTheme="majorHAnsi" w:cs="Calibri"/>
              </w:rPr>
            </w:pPr>
          </w:p>
        </w:tc>
      </w:tr>
      <w:tr w:rsidR="00AF0C5F" w:rsidRPr="008675CA" w14:paraId="6D87FBF7" w14:textId="77777777" w:rsidTr="00AF0C5F">
        <w:trPr>
          <w:trHeight w:val="310"/>
        </w:trPr>
        <w:tc>
          <w:tcPr>
            <w:tcW w:w="1769" w:type="pct"/>
            <w:shd w:val="clear" w:color="auto" w:fill="auto"/>
            <w:vAlign w:val="center"/>
            <w:hideMark/>
          </w:tcPr>
          <w:p w14:paraId="76683613" w14:textId="77777777" w:rsidR="00AF0C5F" w:rsidRPr="008675CA" w:rsidRDefault="00AF0C5F"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 xml:space="preserve">Revenue from operations </w:t>
            </w:r>
          </w:p>
        </w:tc>
        <w:tc>
          <w:tcPr>
            <w:tcW w:w="1251" w:type="pct"/>
          </w:tcPr>
          <w:p w14:paraId="16EF7B27" w14:textId="77777777" w:rsidR="00AF0C5F" w:rsidRPr="008675CA" w:rsidRDefault="007F275A" w:rsidP="003D4573">
            <w:pPr>
              <w:spacing w:after="0"/>
              <w:jc w:val="center"/>
              <w:rPr>
                <w:rFonts w:asciiTheme="majorHAnsi" w:hAnsiTheme="majorHAnsi" w:cs="Calibri"/>
                <w:b/>
              </w:rPr>
            </w:pPr>
            <w:r w:rsidRPr="008675CA">
              <w:rPr>
                <w:rFonts w:asciiTheme="majorHAnsi" w:hAnsiTheme="majorHAnsi" w:cs="Calibri"/>
                <w:b/>
              </w:rPr>
              <w:t>19.78</w:t>
            </w:r>
          </w:p>
        </w:tc>
        <w:tc>
          <w:tcPr>
            <w:tcW w:w="1190" w:type="pct"/>
          </w:tcPr>
          <w:p w14:paraId="7C545192" w14:textId="77777777" w:rsidR="00AF0C5F" w:rsidRPr="008675CA" w:rsidRDefault="00AF0C5F" w:rsidP="003D4573">
            <w:pPr>
              <w:spacing w:after="0"/>
              <w:jc w:val="center"/>
              <w:rPr>
                <w:rFonts w:asciiTheme="majorHAnsi" w:hAnsiTheme="majorHAnsi" w:cs="Calibri"/>
                <w:b/>
              </w:rPr>
            </w:pPr>
          </w:p>
        </w:tc>
        <w:tc>
          <w:tcPr>
            <w:tcW w:w="790" w:type="pct"/>
          </w:tcPr>
          <w:p w14:paraId="49CA360A" w14:textId="77777777" w:rsidR="00AF0C5F" w:rsidRPr="008675CA" w:rsidRDefault="00AF0C5F" w:rsidP="003D4573">
            <w:pPr>
              <w:spacing w:after="0"/>
              <w:jc w:val="center"/>
              <w:rPr>
                <w:rFonts w:asciiTheme="majorHAnsi" w:hAnsiTheme="majorHAnsi" w:cs="Calibri"/>
                <w:b/>
              </w:rPr>
            </w:pPr>
          </w:p>
        </w:tc>
      </w:tr>
      <w:tr w:rsidR="00AF0C5F" w:rsidRPr="008675CA" w14:paraId="09C73AD2" w14:textId="77777777" w:rsidTr="00AF0C5F">
        <w:trPr>
          <w:trHeight w:val="310"/>
        </w:trPr>
        <w:tc>
          <w:tcPr>
            <w:tcW w:w="1769" w:type="pct"/>
            <w:shd w:val="clear" w:color="auto" w:fill="auto"/>
            <w:vAlign w:val="center"/>
            <w:hideMark/>
          </w:tcPr>
          <w:p w14:paraId="14DA26DF" w14:textId="77777777" w:rsidR="00AF0C5F" w:rsidRPr="008675CA" w:rsidRDefault="00AF0C5F" w:rsidP="003D4573">
            <w:pPr>
              <w:spacing w:after="0" w:line="240" w:lineRule="auto"/>
              <w:rPr>
                <w:rFonts w:asciiTheme="majorHAnsi" w:eastAsia="Times New Roman" w:hAnsiTheme="majorHAnsi" w:cs="Calibri"/>
                <w:b/>
                <w:bCs/>
              </w:rPr>
            </w:pPr>
            <w:r w:rsidRPr="008675CA">
              <w:rPr>
                <w:rFonts w:asciiTheme="majorHAnsi" w:eastAsia="Times New Roman" w:hAnsiTheme="majorHAnsi" w:cs="Calibri"/>
                <w:b/>
                <w:bCs/>
              </w:rPr>
              <w:t>Gap (surplus)</w:t>
            </w:r>
          </w:p>
        </w:tc>
        <w:tc>
          <w:tcPr>
            <w:tcW w:w="1251" w:type="pct"/>
          </w:tcPr>
          <w:p w14:paraId="10120178" w14:textId="77777777" w:rsidR="00AF0C5F" w:rsidRPr="00D6100A" w:rsidRDefault="007F275A" w:rsidP="003D4573">
            <w:pPr>
              <w:spacing w:after="0"/>
              <w:jc w:val="center"/>
              <w:rPr>
                <w:rFonts w:asciiTheme="majorHAnsi" w:hAnsiTheme="majorHAnsi" w:cs="Calibri"/>
              </w:rPr>
            </w:pPr>
            <w:r w:rsidRPr="00D6100A">
              <w:rPr>
                <w:rFonts w:asciiTheme="majorHAnsi" w:hAnsiTheme="majorHAnsi" w:cs="Calibri"/>
              </w:rPr>
              <w:t>81.27</w:t>
            </w:r>
          </w:p>
        </w:tc>
        <w:tc>
          <w:tcPr>
            <w:tcW w:w="1190" w:type="pct"/>
          </w:tcPr>
          <w:p w14:paraId="1DCF24E0" w14:textId="77777777" w:rsidR="00AF0C5F" w:rsidRPr="00D6100A" w:rsidRDefault="00D6100A" w:rsidP="003D4573">
            <w:pPr>
              <w:spacing w:after="0"/>
              <w:jc w:val="center"/>
              <w:rPr>
                <w:rFonts w:asciiTheme="majorHAnsi" w:hAnsiTheme="majorHAnsi" w:cs="Calibri"/>
                <w:highlight w:val="yellow"/>
              </w:rPr>
            </w:pPr>
            <w:r w:rsidRPr="00D6100A">
              <w:rPr>
                <w:rFonts w:asciiTheme="majorHAnsi" w:hAnsiTheme="majorHAnsi" w:cs="Calibri"/>
              </w:rPr>
              <w:t>75.09</w:t>
            </w:r>
          </w:p>
        </w:tc>
        <w:tc>
          <w:tcPr>
            <w:tcW w:w="790" w:type="pct"/>
          </w:tcPr>
          <w:p w14:paraId="2EC65568" w14:textId="77777777" w:rsidR="00AF0C5F" w:rsidRPr="008675CA" w:rsidRDefault="00D6100A" w:rsidP="003D4573">
            <w:pPr>
              <w:spacing w:after="0"/>
              <w:jc w:val="center"/>
              <w:rPr>
                <w:rFonts w:asciiTheme="majorHAnsi" w:hAnsiTheme="majorHAnsi" w:cs="Calibri"/>
                <w:b/>
                <w:highlight w:val="yellow"/>
              </w:rPr>
            </w:pPr>
            <w:r w:rsidRPr="00201045">
              <w:rPr>
                <w:rFonts w:asciiTheme="majorHAnsi" w:hAnsiTheme="majorHAnsi" w:cs="Calibri"/>
                <w:b/>
              </w:rPr>
              <w:t>6.18</w:t>
            </w:r>
          </w:p>
        </w:tc>
      </w:tr>
    </w:tbl>
    <w:p w14:paraId="3B283B11" w14:textId="45EBA001" w:rsidR="00DA77FC" w:rsidRPr="00201045" w:rsidRDefault="00DA77FC" w:rsidP="00F12881">
      <w:pPr>
        <w:pStyle w:val="Style3"/>
      </w:pPr>
      <w:r w:rsidRPr="00201045">
        <w:t>MePGCL request the H</w:t>
      </w:r>
      <w:r w:rsidR="00201045">
        <w:t xml:space="preserve">on’ble Commission to consider an additional </w:t>
      </w:r>
      <w:r w:rsidR="00D6100A" w:rsidRPr="00201045">
        <w:t xml:space="preserve">revenue </w:t>
      </w:r>
      <w:r w:rsidRPr="00201045">
        <w:t xml:space="preserve">GAP for review of True up order for FY </w:t>
      </w:r>
      <w:r w:rsidR="007F275A" w:rsidRPr="00201045">
        <w:t>2020-21</w:t>
      </w:r>
      <w:r w:rsidRPr="00201045">
        <w:t xml:space="preserve"> at </w:t>
      </w:r>
      <w:r w:rsidR="007F275A" w:rsidRPr="00201045">
        <w:t>Rs.</w:t>
      </w:r>
      <w:r w:rsidR="00D6100A" w:rsidRPr="00201045">
        <w:t>6.18</w:t>
      </w:r>
      <w:r w:rsidRPr="00201045">
        <w:t xml:space="preserve"> Cr.</w:t>
      </w:r>
      <w:r w:rsidR="00AB52B4" w:rsidRPr="00201045">
        <w:t xml:space="preserve"> to be adjusted in the </w:t>
      </w:r>
      <w:r w:rsidR="00D6100A" w:rsidRPr="00201045">
        <w:t xml:space="preserve">review petition for </w:t>
      </w:r>
      <w:r w:rsidR="00AB52B4" w:rsidRPr="00201045">
        <w:t xml:space="preserve">FY </w:t>
      </w:r>
      <w:r w:rsidR="00D6100A" w:rsidRPr="00201045">
        <w:t>2023-24</w:t>
      </w:r>
      <w:r w:rsidR="00AB52B4" w:rsidRPr="00201045">
        <w:t>.</w:t>
      </w:r>
    </w:p>
    <w:p w14:paraId="3C850181" w14:textId="77777777" w:rsidR="00201045" w:rsidRPr="003A4ABE" w:rsidRDefault="00201045" w:rsidP="00F12881">
      <w:pPr>
        <w:pStyle w:val="Style3"/>
      </w:pPr>
    </w:p>
    <w:p w14:paraId="655BDBB3" w14:textId="77777777" w:rsidR="00DA77FC" w:rsidRPr="008675CA" w:rsidRDefault="00372DCD" w:rsidP="00DA77FC">
      <w:pPr>
        <w:rPr>
          <w:rFonts w:asciiTheme="majorHAnsi" w:hAnsiTheme="majorHAnsi" w:cs="Times New Roman"/>
          <w:b/>
        </w:rPr>
      </w:pPr>
      <w:r w:rsidRPr="008675CA">
        <w:rPr>
          <w:rFonts w:asciiTheme="majorHAnsi" w:hAnsiTheme="majorHAnsi" w:cs="Times New Roman"/>
          <w:b/>
        </w:rPr>
        <w:t>2</w:t>
      </w:r>
      <w:r w:rsidR="001C5AAB" w:rsidRPr="008675CA">
        <w:rPr>
          <w:rFonts w:asciiTheme="majorHAnsi" w:hAnsiTheme="majorHAnsi" w:cs="Times New Roman"/>
          <w:b/>
        </w:rPr>
        <w:t>.4</w:t>
      </w:r>
      <w:r w:rsidR="00DA77FC" w:rsidRPr="008675CA">
        <w:rPr>
          <w:rFonts w:asciiTheme="majorHAnsi" w:hAnsiTheme="majorHAnsi" w:cs="Times New Roman"/>
          <w:b/>
        </w:rPr>
        <w:tab/>
        <w:t xml:space="preserve">TRUE UP FOR LAKROH MHP FOR FY </w:t>
      </w:r>
      <w:r w:rsidR="007F275A" w:rsidRPr="008675CA">
        <w:rPr>
          <w:rFonts w:asciiTheme="majorHAnsi" w:hAnsiTheme="majorHAnsi" w:cs="Times New Roman"/>
          <w:b/>
        </w:rPr>
        <w:t>2020-21</w:t>
      </w:r>
    </w:p>
    <w:p w14:paraId="10084922" w14:textId="77777777" w:rsidR="00DA77FC" w:rsidRDefault="00372DCD" w:rsidP="00DA77FC">
      <w:pPr>
        <w:tabs>
          <w:tab w:val="left" w:pos="6208"/>
        </w:tabs>
        <w:spacing w:after="0"/>
        <w:rPr>
          <w:rFonts w:asciiTheme="majorHAnsi" w:hAnsiTheme="majorHAnsi"/>
          <w:b/>
        </w:rPr>
      </w:pPr>
      <w:r w:rsidRPr="008675CA">
        <w:rPr>
          <w:rFonts w:asciiTheme="majorHAnsi" w:hAnsiTheme="majorHAnsi"/>
          <w:b/>
        </w:rPr>
        <w:t>2</w:t>
      </w:r>
      <w:r w:rsidR="001C5AAB" w:rsidRPr="008675CA">
        <w:rPr>
          <w:rFonts w:asciiTheme="majorHAnsi" w:hAnsiTheme="majorHAnsi"/>
          <w:b/>
        </w:rPr>
        <w:t>.</w:t>
      </w:r>
      <w:r w:rsidR="00DA77FC" w:rsidRPr="008675CA">
        <w:rPr>
          <w:rFonts w:asciiTheme="majorHAnsi" w:hAnsiTheme="majorHAnsi"/>
          <w:b/>
        </w:rPr>
        <w:t>4.1.  Gross Fixed Assets (GFA)</w:t>
      </w:r>
    </w:p>
    <w:p w14:paraId="1A9A6EC9" w14:textId="77777777" w:rsidR="00221D67" w:rsidRPr="00221D67" w:rsidRDefault="00221D67" w:rsidP="00DA77FC">
      <w:pPr>
        <w:tabs>
          <w:tab w:val="left" w:pos="6208"/>
        </w:tabs>
        <w:spacing w:after="0"/>
        <w:rPr>
          <w:rFonts w:asciiTheme="majorHAnsi" w:hAnsiTheme="majorHAnsi"/>
          <w:b/>
          <w:sz w:val="12"/>
        </w:rPr>
      </w:pPr>
    </w:p>
    <w:p w14:paraId="28EA4E6E" w14:textId="4D2DA81B" w:rsidR="00DA77FC" w:rsidRDefault="00DA77FC" w:rsidP="001C5AAB">
      <w:pPr>
        <w:tabs>
          <w:tab w:val="left" w:pos="6208"/>
        </w:tabs>
        <w:spacing w:after="0"/>
        <w:ind w:left="426"/>
        <w:jc w:val="both"/>
        <w:rPr>
          <w:rFonts w:asciiTheme="majorHAnsi" w:hAnsiTheme="majorHAnsi"/>
        </w:rPr>
      </w:pPr>
      <w:r w:rsidRPr="008675CA">
        <w:rPr>
          <w:rFonts w:asciiTheme="majorHAnsi" w:hAnsiTheme="majorHAnsi"/>
        </w:rPr>
        <w:t xml:space="preserve">The GFA for Lakroh MHP for FY </w:t>
      </w:r>
      <w:r w:rsidR="00AB52B4" w:rsidRPr="008675CA">
        <w:rPr>
          <w:rFonts w:asciiTheme="majorHAnsi" w:hAnsiTheme="majorHAnsi"/>
        </w:rPr>
        <w:t>2020-21</w:t>
      </w:r>
      <w:r w:rsidRPr="008675CA">
        <w:rPr>
          <w:rFonts w:asciiTheme="majorHAnsi" w:hAnsiTheme="majorHAnsi"/>
        </w:rPr>
        <w:t xml:space="preserve"> is based as per </w:t>
      </w:r>
      <w:r w:rsidR="00AB52B4" w:rsidRPr="008675CA">
        <w:rPr>
          <w:rFonts w:asciiTheme="majorHAnsi" w:hAnsiTheme="majorHAnsi"/>
        </w:rPr>
        <w:t>segregated</w:t>
      </w:r>
      <w:r w:rsidRPr="008675CA">
        <w:rPr>
          <w:rFonts w:asciiTheme="majorHAnsi" w:hAnsiTheme="majorHAnsi"/>
        </w:rPr>
        <w:t xml:space="preserve"> Accounts </w:t>
      </w:r>
      <w:r w:rsidR="00AB52B4" w:rsidRPr="008675CA">
        <w:rPr>
          <w:rFonts w:asciiTheme="majorHAnsi" w:hAnsiTheme="majorHAnsi"/>
        </w:rPr>
        <w:t xml:space="preserve">attached in the true up petition at Rs. 25.72 Cr. </w:t>
      </w:r>
      <w:r w:rsidRPr="008675CA">
        <w:rPr>
          <w:rFonts w:asciiTheme="majorHAnsi" w:hAnsiTheme="majorHAnsi"/>
        </w:rPr>
        <w:t>The GFA approved by the Hon’ble Commission in the true up order at R</w:t>
      </w:r>
      <w:r w:rsidR="00AB52B4" w:rsidRPr="008675CA">
        <w:rPr>
          <w:rFonts w:asciiTheme="majorHAnsi" w:hAnsiTheme="majorHAnsi"/>
        </w:rPr>
        <w:t xml:space="preserve">s.22.41 Cr. </w:t>
      </w:r>
      <w:r w:rsidRPr="008675CA">
        <w:rPr>
          <w:rFonts w:asciiTheme="majorHAnsi" w:hAnsiTheme="majorHAnsi"/>
        </w:rPr>
        <w:t>is</w:t>
      </w:r>
      <w:r w:rsidR="00AB52B4" w:rsidRPr="008675CA">
        <w:rPr>
          <w:rFonts w:asciiTheme="majorHAnsi" w:hAnsiTheme="majorHAnsi"/>
        </w:rPr>
        <w:t xml:space="preserve"> </w:t>
      </w:r>
      <w:r w:rsidR="00221D67">
        <w:rPr>
          <w:rFonts w:asciiTheme="majorHAnsi" w:hAnsiTheme="majorHAnsi"/>
        </w:rPr>
        <w:t xml:space="preserve">much less than </w:t>
      </w:r>
      <w:r w:rsidRPr="008675CA">
        <w:rPr>
          <w:rFonts w:asciiTheme="majorHAnsi" w:hAnsiTheme="majorHAnsi"/>
        </w:rPr>
        <w:t>the actual GFA as per the audited statement.</w:t>
      </w:r>
    </w:p>
    <w:p w14:paraId="6B96FDFB" w14:textId="77777777" w:rsidR="00221D67" w:rsidRPr="00221D67" w:rsidRDefault="00221D67" w:rsidP="001C5AAB">
      <w:pPr>
        <w:tabs>
          <w:tab w:val="left" w:pos="6208"/>
        </w:tabs>
        <w:spacing w:after="0"/>
        <w:ind w:left="426"/>
        <w:jc w:val="both"/>
        <w:rPr>
          <w:rFonts w:asciiTheme="majorHAnsi" w:hAnsiTheme="majorHAnsi"/>
          <w:sz w:val="14"/>
        </w:rPr>
      </w:pPr>
    </w:p>
    <w:p w14:paraId="3FCFAAD4" w14:textId="77777777" w:rsidR="00DA77FC" w:rsidRPr="008675CA" w:rsidRDefault="00DA77FC" w:rsidP="001C5AAB">
      <w:pPr>
        <w:tabs>
          <w:tab w:val="left" w:pos="6208"/>
        </w:tabs>
        <w:ind w:left="426"/>
        <w:jc w:val="both"/>
        <w:rPr>
          <w:rFonts w:asciiTheme="majorHAnsi" w:hAnsiTheme="majorHAnsi"/>
        </w:rPr>
      </w:pPr>
      <w:r w:rsidRPr="008675CA">
        <w:rPr>
          <w:rFonts w:asciiTheme="majorHAnsi" w:hAnsiTheme="majorHAnsi"/>
        </w:rPr>
        <w:t xml:space="preserve">Therefore, MePGCL requests the Hon’ble Commission to kindly consider the GFA as per true up petition at </w:t>
      </w:r>
      <w:r w:rsidR="00AB52B4" w:rsidRPr="008675CA">
        <w:rPr>
          <w:rFonts w:asciiTheme="majorHAnsi" w:hAnsiTheme="majorHAnsi"/>
        </w:rPr>
        <w:t>Rs.25.72</w:t>
      </w:r>
      <w:r w:rsidRPr="008675CA">
        <w:rPr>
          <w:rFonts w:asciiTheme="majorHAnsi" w:hAnsiTheme="majorHAnsi"/>
        </w:rPr>
        <w:t xml:space="preserve"> Cr. </w:t>
      </w:r>
    </w:p>
    <w:p w14:paraId="1CD94AD4" w14:textId="77777777" w:rsidR="00DA77FC" w:rsidRPr="008675CA" w:rsidRDefault="00372DCD" w:rsidP="00DA77FC">
      <w:pPr>
        <w:tabs>
          <w:tab w:val="left" w:pos="6208"/>
        </w:tabs>
        <w:spacing w:after="0"/>
        <w:rPr>
          <w:rFonts w:asciiTheme="majorHAnsi" w:hAnsiTheme="majorHAnsi"/>
          <w:b/>
        </w:rPr>
      </w:pPr>
      <w:r w:rsidRPr="008675CA">
        <w:rPr>
          <w:rFonts w:asciiTheme="majorHAnsi" w:hAnsiTheme="majorHAnsi"/>
          <w:b/>
        </w:rPr>
        <w:t>2</w:t>
      </w:r>
      <w:r w:rsidR="00DA77FC" w:rsidRPr="008675CA">
        <w:rPr>
          <w:rFonts w:asciiTheme="majorHAnsi" w:hAnsiTheme="majorHAnsi"/>
          <w:b/>
        </w:rPr>
        <w:t>.4.2. Depreciation</w:t>
      </w:r>
    </w:p>
    <w:p w14:paraId="57186940" w14:textId="77777777" w:rsidR="00DA77FC" w:rsidRPr="008675CA" w:rsidRDefault="00DA77FC" w:rsidP="001C5AAB">
      <w:pPr>
        <w:tabs>
          <w:tab w:val="left" w:pos="6208"/>
        </w:tabs>
        <w:spacing w:after="0"/>
        <w:ind w:left="426"/>
        <w:jc w:val="both"/>
        <w:rPr>
          <w:rFonts w:asciiTheme="majorHAnsi" w:hAnsiTheme="majorHAnsi"/>
        </w:rPr>
      </w:pPr>
      <w:r w:rsidRPr="008675CA">
        <w:rPr>
          <w:rFonts w:asciiTheme="majorHAnsi" w:hAnsiTheme="majorHAnsi"/>
        </w:rPr>
        <w:t xml:space="preserve">The Depreciation for Lakroh MHP for FY </w:t>
      </w:r>
      <w:r w:rsidR="00AB52B4" w:rsidRPr="008675CA">
        <w:rPr>
          <w:rFonts w:asciiTheme="majorHAnsi" w:hAnsiTheme="majorHAnsi"/>
        </w:rPr>
        <w:t>2020-21</w:t>
      </w:r>
      <w:r w:rsidRPr="008675CA">
        <w:rPr>
          <w:rFonts w:asciiTheme="majorHAnsi" w:hAnsiTheme="majorHAnsi"/>
        </w:rPr>
        <w:t xml:space="preserve"> is based as per </w:t>
      </w:r>
      <w:r w:rsidR="00AB52B4" w:rsidRPr="008675CA">
        <w:rPr>
          <w:rFonts w:asciiTheme="majorHAnsi" w:hAnsiTheme="majorHAnsi"/>
        </w:rPr>
        <w:t xml:space="preserve">Segregated </w:t>
      </w:r>
      <w:r w:rsidRPr="008675CA">
        <w:rPr>
          <w:rFonts w:asciiTheme="majorHAnsi" w:hAnsiTheme="majorHAnsi"/>
        </w:rPr>
        <w:t xml:space="preserve">Accounts amounting to </w:t>
      </w:r>
      <w:r w:rsidR="00AB52B4" w:rsidRPr="008675CA">
        <w:rPr>
          <w:rFonts w:asciiTheme="majorHAnsi" w:hAnsiTheme="majorHAnsi"/>
        </w:rPr>
        <w:t>Rs.1.25</w:t>
      </w:r>
      <w:r w:rsidRPr="008675CA">
        <w:rPr>
          <w:rFonts w:asciiTheme="majorHAnsi" w:hAnsiTheme="majorHAnsi"/>
        </w:rPr>
        <w:t xml:space="preserve"> Cr. as per the rate of depreciation given in the regulations. The net depreciation approved by the Hon’ble Commission in the true up order at </w:t>
      </w:r>
      <w:r w:rsidR="00AB52B4" w:rsidRPr="008675CA">
        <w:rPr>
          <w:rFonts w:asciiTheme="majorHAnsi" w:hAnsiTheme="majorHAnsi"/>
        </w:rPr>
        <w:t>Rs. 0.41</w:t>
      </w:r>
      <w:r w:rsidRPr="008675CA">
        <w:rPr>
          <w:rFonts w:asciiTheme="majorHAnsi" w:hAnsiTheme="majorHAnsi"/>
        </w:rPr>
        <w:t xml:space="preserve"> Cr by deducting Depreciation on grants is incorrect.</w:t>
      </w:r>
    </w:p>
    <w:p w14:paraId="5E8AABF7" w14:textId="77777777" w:rsidR="00DA77FC" w:rsidRPr="008675CA" w:rsidRDefault="00DA77FC" w:rsidP="00DA77FC">
      <w:pPr>
        <w:tabs>
          <w:tab w:val="left" w:pos="6208"/>
        </w:tabs>
        <w:spacing w:after="0"/>
        <w:jc w:val="both"/>
        <w:rPr>
          <w:rFonts w:asciiTheme="majorHAnsi" w:hAnsiTheme="majorHAnsi"/>
        </w:rPr>
      </w:pPr>
    </w:p>
    <w:p w14:paraId="08F41C45" w14:textId="38436029" w:rsidR="00AB52B4" w:rsidRDefault="00AB52B4" w:rsidP="00F12881">
      <w:pPr>
        <w:pStyle w:val="Style3"/>
      </w:pPr>
      <w:r w:rsidRPr="008675CA">
        <w:t xml:space="preserve">Table </w:t>
      </w:r>
      <w:r w:rsidR="00104302" w:rsidRPr="008675CA">
        <w:t>1</w:t>
      </w:r>
      <w:r w:rsidR="00221D67">
        <w:t>5</w:t>
      </w:r>
      <w:r w:rsidRPr="008675CA">
        <w:t>: Depreciation of Lakroh MHP for FY 2020-21</w:t>
      </w:r>
    </w:p>
    <w:p w14:paraId="17ED2802" w14:textId="77777777" w:rsidR="00A231AC" w:rsidRPr="00E61C51" w:rsidRDefault="00A231AC" w:rsidP="00F12881">
      <w:pPr>
        <w:pStyle w:val="Style3"/>
      </w:pPr>
    </w:p>
    <w:tbl>
      <w:tblPr>
        <w:tblStyle w:val="TableGrid"/>
        <w:tblW w:w="0" w:type="auto"/>
        <w:tblLayout w:type="fixed"/>
        <w:tblLook w:val="04A0" w:firstRow="1" w:lastRow="0" w:firstColumn="1" w:lastColumn="0" w:noHBand="0" w:noVBand="1"/>
      </w:tblPr>
      <w:tblGrid>
        <w:gridCol w:w="552"/>
        <w:gridCol w:w="1824"/>
        <w:gridCol w:w="1560"/>
        <w:gridCol w:w="1275"/>
        <w:gridCol w:w="1418"/>
        <w:gridCol w:w="1511"/>
        <w:gridCol w:w="1693"/>
      </w:tblGrid>
      <w:tr w:rsidR="00AB52B4" w:rsidRPr="008675CA" w14:paraId="47B7208A" w14:textId="77777777" w:rsidTr="007A771A">
        <w:tc>
          <w:tcPr>
            <w:tcW w:w="552" w:type="dxa"/>
          </w:tcPr>
          <w:p w14:paraId="00249D43" w14:textId="77777777" w:rsidR="00AB52B4" w:rsidRPr="008675CA" w:rsidRDefault="00AB52B4" w:rsidP="00F12881">
            <w:pPr>
              <w:pStyle w:val="Style3"/>
            </w:pPr>
            <w:r w:rsidRPr="008675CA">
              <w:t>Sl No</w:t>
            </w:r>
          </w:p>
        </w:tc>
        <w:tc>
          <w:tcPr>
            <w:tcW w:w="1824" w:type="dxa"/>
          </w:tcPr>
          <w:p w14:paraId="17B1C03A" w14:textId="77777777" w:rsidR="00AB52B4" w:rsidRPr="008675CA" w:rsidRDefault="00AB52B4" w:rsidP="00F12881">
            <w:pPr>
              <w:pStyle w:val="Style3"/>
            </w:pPr>
            <w:r w:rsidRPr="008675CA">
              <w:t>Name of Asset</w:t>
            </w:r>
          </w:p>
        </w:tc>
        <w:tc>
          <w:tcPr>
            <w:tcW w:w="1560" w:type="dxa"/>
          </w:tcPr>
          <w:p w14:paraId="19281CFC" w14:textId="77777777" w:rsidR="00AB52B4" w:rsidRPr="008675CA" w:rsidRDefault="00AB52B4" w:rsidP="00F12881">
            <w:pPr>
              <w:pStyle w:val="Style3"/>
            </w:pPr>
            <w:r w:rsidRPr="008675CA">
              <w:t>Value assets at beginning of the year (Crore)</w:t>
            </w:r>
          </w:p>
        </w:tc>
        <w:tc>
          <w:tcPr>
            <w:tcW w:w="1275" w:type="dxa"/>
          </w:tcPr>
          <w:p w14:paraId="32EC9BF6" w14:textId="77777777" w:rsidR="00AB52B4" w:rsidRPr="008675CA" w:rsidRDefault="00AB52B4" w:rsidP="00F12881">
            <w:pPr>
              <w:pStyle w:val="Style3"/>
            </w:pPr>
            <w:r w:rsidRPr="008675CA">
              <w:t>Addition during the year (Crore)</w:t>
            </w:r>
          </w:p>
        </w:tc>
        <w:tc>
          <w:tcPr>
            <w:tcW w:w="1418" w:type="dxa"/>
          </w:tcPr>
          <w:p w14:paraId="3A28030B" w14:textId="77777777" w:rsidR="00AB52B4" w:rsidRPr="008675CA" w:rsidRDefault="00AB52B4" w:rsidP="00F12881">
            <w:pPr>
              <w:pStyle w:val="Style3"/>
            </w:pPr>
            <w:r w:rsidRPr="008675CA">
              <w:t>Value assets at the end of the year (Crore)</w:t>
            </w:r>
          </w:p>
        </w:tc>
        <w:tc>
          <w:tcPr>
            <w:tcW w:w="1511" w:type="dxa"/>
          </w:tcPr>
          <w:p w14:paraId="2C097E69" w14:textId="77777777" w:rsidR="00AB52B4" w:rsidRPr="008675CA" w:rsidRDefault="00AB52B4" w:rsidP="00F12881">
            <w:pPr>
              <w:pStyle w:val="Style3"/>
            </w:pPr>
            <w:r w:rsidRPr="008675CA">
              <w:t>Rate of Depreciation (%)</w:t>
            </w:r>
          </w:p>
        </w:tc>
        <w:tc>
          <w:tcPr>
            <w:tcW w:w="1693" w:type="dxa"/>
          </w:tcPr>
          <w:p w14:paraId="03434B94" w14:textId="77777777" w:rsidR="00AB52B4" w:rsidRPr="008675CA" w:rsidRDefault="00AB52B4" w:rsidP="00F12881">
            <w:pPr>
              <w:pStyle w:val="Style3"/>
            </w:pPr>
            <w:r w:rsidRPr="008675CA">
              <w:t>Depreciation charges of the year (Crore)</w:t>
            </w:r>
          </w:p>
        </w:tc>
      </w:tr>
      <w:tr w:rsidR="00AB52B4" w:rsidRPr="008675CA" w14:paraId="3E4E621A" w14:textId="77777777" w:rsidTr="007A771A">
        <w:tc>
          <w:tcPr>
            <w:tcW w:w="552" w:type="dxa"/>
          </w:tcPr>
          <w:p w14:paraId="57683BAE" w14:textId="77777777" w:rsidR="00AB52B4" w:rsidRPr="00221D67" w:rsidRDefault="00AB52B4" w:rsidP="00F12881">
            <w:pPr>
              <w:pStyle w:val="Style3"/>
            </w:pPr>
            <w:r w:rsidRPr="00221D67">
              <w:t>1</w:t>
            </w:r>
          </w:p>
        </w:tc>
        <w:tc>
          <w:tcPr>
            <w:tcW w:w="1824" w:type="dxa"/>
          </w:tcPr>
          <w:p w14:paraId="54C6621E" w14:textId="77777777" w:rsidR="00AB52B4" w:rsidRPr="00221D67" w:rsidRDefault="00AB52B4" w:rsidP="00F12881">
            <w:pPr>
              <w:pStyle w:val="Style3"/>
            </w:pPr>
            <w:r w:rsidRPr="00221D67">
              <w:t>Land &amp; land rights</w:t>
            </w:r>
          </w:p>
        </w:tc>
        <w:tc>
          <w:tcPr>
            <w:tcW w:w="1560" w:type="dxa"/>
          </w:tcPr>
          <w:p w14:paraId="59AF05EB" w14:textId="77777777" w:rsidR="00AB52B4" w:rsidRPr="00221D67" w:rsidRDefault="00936274" w:rsidP="00F12881">
            <w:pPr>
              <w:pStyle w:val="Style3"/>
            </w:pPr>
            <w:r w:rsidRPr="00221D67">
              <w:t>0.0027</w:t>
            </w:r>
          </w:p>
        </w:tc>
        <w:tc>
          <w:tcPr>
            <w:tcW w:w="1275" w:type="dxa"/>
          </w:tcPr>
          <w:p w14:paraId="2A82ED3A" w14:textId="77777777" w:rsidR="00AB52B4" w:rsidRPr="00221D67" w:rsidRDefault="00936274" w:rsidP="00F12881">
            <w:pPr>
              <w:pStyle w:val="Style3"/>
            </w:pPr>
            <w:r w:rsidRPr="00221D67">
              <w:t>-</w:t>
            </w:r>
          </w:p>
        </w:tc>
        <w:tc>
          <w:tcPr>
            <w:tcW w:w="1418" w:type="dxa"/>
          </w:tcPr>
          <w:p w14:paraId="7BD39046" w14:textId="77777777" w:rsidR="00AB52B4" w:rsidRPr="00221D67" w:rsidRDefault="00936274" w:rsidP="00F12881">
            <w:pPr>
              <w:pStyle w:val="Style3"/>
            </w:pPr>
            <w:r w:rsidRPr="00221D67">
              <w:t>0.0027</w:t>
            </w:r>
          </w:p>
        </w:tc>
        <w:tc>
          <w:tcPr>
            <w:tcW w:w="1511" w:type="dxa"/>
          </w:tcPr>
          <w:p w14:paraId="7E52D532" w14:textId="77777777" w:rsidR="00AB52B4" w:rsidRPr="00221D67" w:rsidRDefault="00AB52B4" w:rsidP="00F12881">
            <w:pPr>
              <w:pStyle w:val="Style3"/>
            </w:pPr>
          </w:p>
        </w:tc>
        <w:tc>
          <w:tcPr>
            <w:tcW w:w="1693" w:type="dxa"/>
          </w:tcPr>
          <w:p w14:paraId="4AC9E476" w14:textId="77777777" w:rsidR="00AB52B4" w:rsidRPr="00221D67" w:rsidRDefault="00936274" w:rsidP="00F12881">
            <w:pPr>
              <w:pStyle w:val="Style3"/>
            </w:pPr>
            <w:r w:rsidRPr="00221D67">
              <w:t>-</w:t>
            </w:r>
          </w:p>
        </w:tc>
      </w:tr>
      <w:tr w:rsidR="00AB52B4" w:rsidRPr="008675CA" w14:paraId="3B9C4BA5" w14:textId="77777777" w:rsidTr="007A771A">
        <w:tc>
          <w:tcPr>
            <w:tcW w:w="552" w:type="dxa"/>
          </w:tcPr>
          <w:p w14:paraId="6016541D" w14:textId="77777777" w:rsidR="00AB52B4" w:rsidRPr="00221D67" w:rsidRDefault="00AB52B4" w:rsidP="00F12881">
            <w:pPr>
              <w:pStyle w:val="Style3"/>
            </w:pPr>
            <w:r w:rsidRPr="00221D67">
              <w:t>2</w:t>
            </w:r>
          </w:p>
        </w:tc>
        <w:tc>
          <w:tcPr>
            <w:tcW w:w="1824" w:type="dxa"/>
          </w:tcPr>
          <w:p w14:paraId="53A5C01D" w14:textId="77777777" w:rsidR="00AB52B4" w:rsidRPr="00221D67" w:rsidRDefault="00AB52B4" w:rsidP="00F12881">
            <w:pPr>
              <w:pStyle w:val="Style3"/>
            </w:pPr>
            <w:r w:rsidRPr="00221D67">
              <w:t>Buildings</w:t>
            </w:r>
          </w:p>
        </w:tc>
        <w:tc>
          <w:tcPr>
            <w:tcW w:w="1560" w:type="dxa"/>
          </w:tcPr>
          <w:p w14:paraId="18C801BD" w14:textId="77777777" w:rsidR="00AB52B4" w:rsidRPr="00221D67" w:rsidRDefault="00936274" w:rsidP="00F12881">
            <w:pPr>
              <w:pStyle w:val="Style3"/>
            </w:pPr>
            <w:r w:rsidRPr="00221D67">
              <w:t>2.25</w:t>
            </w:r>
          </w:p>
        </w:tc>
        <w:tc>
          <w:tcPr>
            <w:tcW w:w="1275" w:type="dxa"/>
          </w:tcPr>
          <w:p w14:paraId="4BF76409" w14:textId="77777777" w:rsidR="00AB52B4" w:rsidRPr="00221D67" w:rsidRDefault="00936274" w:rsidP="00F12881">
            <w:pPr>
              <w:pStyle w:val="Style3"/>
            </w:pPr>
            <w:r w:rsidRPr="00221D67">
              <w:t>0.18</w:t>
            </w:r>
          </w:p>
        </w:tc>
        <w:tc>
          <w:tcPr>
            <w:tcW w:w="1418" w:type="dxa"/>
          </w:tcPr>
          <w:p w14:paraId="6CC585D5" w14:textId="77777777" w:rsidR="00AB52B4" w:rsidRPr="00221D67" w:rsidRDefault="00936274" w:rsidP="00F12881">
            <w:pPr>
              <w:pStyle w:val="Style3"/>
            </w:pPr>
            <w:r w:rsidRPr="00221D67">
              <w:t>2.43</w:t>
            </w:r>
          </w:p>
        </w:tc>
        <w:tc>
          <w:tcPr>
            <w:tcW w:w="1511" w:type="dxa"/>
          </w:tcPr>
          <w:p w14:paraId="70AC310A" w14:textId="77777777" w:rsidR="00AB52B4" w:rsidRPr="00221D67" w:rsidRDefault="00936274" w:rsidP="00F12881">
            <w:pPr>
              <w:pStyle w:val="Style3"/>
            </w:pPr>
            <w:r w:rsidRPr="00221D67">
              <w:t>3.34</w:t>
            </w:r>
          </w:p>
        </w:tc>
        <w:tc>
          <w:tcPr>
            <w:tcW w:w="1693" w:type="dxa"/>
          </w:tcPr>
          <w:p w14:paraId="18E245CB" w14:textId="77777777" w:rsidR="00AB52B4" w:rsidRPr="00221D67" w:rsidRDefault="00936274" w:rsidP="00F12881">
            <w:pPr>
              <w:pStyle w:val="Style3"/>
            </w:pPr>
            <w:r w:rsidRPr="00221D67">
              <w:t>0.08</w:t>
            </w:r>
          </w:p>
        </w:tc>
      </w:tr>
      <w:tr w:rsidR="00AB52B4" w:rsidRPr="008675CA" w14:paraId="7BFCFD2E" w14:textId="77777777" w:rsidTr="007A771A">
        <w:tc>
          <w:tcPr>
            <w:tcW w:w="552" w:type="dxa"/>
          </w:tcPr>
          <w:p w14:paraId="760EDD0B" w14:textId="77777777" w:rsidR="00AB52B4" w:rsidRPr="00221D67" w:rsidRDefault="00AB52B4" w:rsidP="00F12881">
            <w:pPr>
              <w:pStyle w:val="Style3"/>
            </w:pPr>
            <w:r w:rsidRPr="00221D67">
              <w:t>3</w:t>
            </w:r>
          </w:p>
        </w:tc>
        <w:tc>
          <w:tcPr>
            <w:tcW w:w="1824" w:type="dxa"/>
          </w:tcPr>
          <w:p w14:paraId="3342E29D" w14:textId="77777777" w:rsidR="00AB52B4" w:rsidRPr="00221D67" w:rsidRDefault="00AB52B4" w:rsidP="00F12881">
            <w:pPr>
              <w:pStyle w:val="Style3"/>
            </w:pPr>
            <w:r w:rsidRPr="00221D67">
              <w:t>Hydraulic works</w:t>
            </w:r>
          </w:p>
        </w:tc>
        <w:tc>
          <w:tcPr>
            <w:tcW w:w="1560" w:type="dxa"/>
          </w:tcPr>
          <w:p w14:paraId="27FC5F01" w14:textId="77777777" w:rsidR="00AB52B4" w:rsidRPr="00221D67" w:rsidRDefault="00936274" w:rsidP="00F12881">
            <w:pPr>
              <w:pStyle w:val="Style3"/>
            </w:pPr>
            <w:r w:rsidRPr="00221D67">
              <w:t>9.35</w:t>
            </w:r>
          </w:p>
        </w:tc>
        <w:tc>
          <w:tcPr>
            <w:tcW w:w="1275" w:type="dxa"/>
          </w:tcPr>
          <w:p w14:paraId="17D56529" w14:textId="77777777" w:rsidR="00AB52B4" w:rsidRPr="00221D67" w:rsidRDefault="00936274" w:rsidP="00F12881">
            <w:pPr>
              <w:pStyle w:val="Style3"/>
            </w:pPr>
            <w:r w:rsidRPr="00221D67">
              <w:t>0.27</w:t>
            </w:r>
          </w:p>
        </w:tc>
        <w:tc>
          <w:tcPr>
            <w:tcW w:w="1418" w:type="dxa"/>
          </w:tcPr>
          <w:p w14:paraId="7096876B" w14:textId="77777777" w:rsidR="00AB52B4" w:rsidRPr="00221D67" w:rsidRDefault="00936274" w:rsidP="00F12881">
            <w:pPr>
              <w:pStyle w:val="Style3"/>
            </w:pPr>
            <w:r w:rsidRPr="00221D67">
              <w:t>9.62</w:t>
            </w:r>
          </w:p>
        </w:tc>
        <w:tc>
          <w:tcPr>
            <w:tcW w:w="1511" w:type="dxa"/>
          </w:tcPr>
          <w:p w14:paraId="59D6168B" w14:textId="77777777" w:rsidR="00AB52B4" w:rsidRPr="00221D67" w:rsidRDefault="00936274" w:rsidP="00F12881">
            <w:pPr>
              <w:pStyle w:val="Style3"/>
            </w:pPr>
            <w:r w:rsidRPr="00221D67">
              <w:t>5.28</w:t>
            </w:r>
          </w:p>
        </w:tc>
        <w:tc>
          <w:tcPr>
            <w:tcW w:w="1693" w:type="dxa"/>
          </w:tcPr>
          <w:p w14:paraId="052BCA4F" w14:textId="77777777" w:rsidR="00AB52B4" w:rsidRPr="00221D67" w:rsidRDefault="00936274" w:rsidP="00F12881">
            <w:pPr>
              <w:pStyle w:val="Style3"/>
            </w:pPr>
            <w:r w:rsidRPr="00221D67">
              <w:t>0.50</w:t>
            </w:r>
          </w:p>
        </w:tc>
      </w:tr>
      <w:tr w:rsidR="00AB52B4" w:rsidRPr="008675CA" w14:paraId="737AC8FC" w14:textId="77777777" w:rsidTr="007A771A">
        <w:tc>
          <w:tcPr>
            <w:tcW w:w="552" w:type="dxa"/>
          </w:tcPr>
          <w:p w14:paraId="3389CEAA" w14:textId="77777777" w:rsidR="00AB52B4" w:rsidRPr="00221D67" w:rsidRDefault="00AB52B4" w:rsidP="00F12881">
            <w:pPr>
              <w:pStyle w:val="Style3"/>
            </w:pPr>
            <w:r w:rsidRPr="00221D67">
              <w:t>4</w:t>
            </w:r>
          </w:p>
        </w:tc>
        <w:tc>
          <w:tcPr>
            <w:tcW w:w="1824" w:type="dxa"/>
          </w:tcPr>
          <w:p w14:paraId="48CA1A76" w14:textId="77777777" w:rsidR="00AB52B4" w:rsidRPr="00221D67" w:rsidRDefault="00AB52B4" w:rsidP="00F12881">
            <w:pPr>
              <w:pStyle w:val="Style3"/>
            </w:pPr>
            <w:r w:rsidRPr="00221D67">
              <w:t>Other civil works</w:t>
            </w:r>
          </w:p>
        </w:tc>
        <w:tc>
          <w:tcPr>
            <w:tcW w:w="1560" w:type="dxa"/>
          </w:tcPr>
          <w:p w14:paraId="0C65FE62" w14:textId="77777777" w:rsidR="00AB52B4" w:rsidRPr="00221D67" w:rsidRDefault="00936274" w:rsidP="00F12881">
            <w:pPr>
              <w:pStyle w:val="Style3"/>
            </w:pPr>
            <w:r w:rsidRPr="00221D67">
              <w:t>1.80</w:t>
            </w:r>
          </w:p>
        </w:tc>
        <w:tc>
          <w:tcPr>
            <w:tcW w:w="1275" w:type="dxa"/>
          </w:tcPr>
          <w:p w14:paraId="3FDC9D17" w14:textId="77777777" w:rsidR="00AB52B4" w:rsidRPr="00221D67" w:rsidRDefault="00936274" w:rsidP="00F12881">
            <w:pPr>
              <w:pStyle w:val="Style3"/>
            </w:pPr>
            <w:r w:rsidRPr="00221D67">
              <w:t>0.41</w:t>
            </w:r>
          </w:p>
        </w:tc>
        <w:tc>
          <w:tcPr>
            <w:tcW w:w="1418" w:type="dxa"/>
          </w:tcPr>
          <w:p w14:paraId="0D834AA2" w14:textId="77777777" w:rsidR="00AB52B4" w:rsidRPr="00221D67" w:rsidRDefault="00936274" w:rsidP="00F12881">
            <w:pPr>
              <w:pStyle w:val="Style3"/>
            </w:pPr>
            <w:r w:rsidRPr="00221D67">
              <w:t>2.21</w:t>
            </w:r>
          </w:p>
        </w:tc>
        <w:tc>
          <w:tcPr>
            <w:tcW w:w="1511" w:type="dxa"/>
          </w:tcPr>
          <w:p w14:paraId="00D2E313" w14:textId="77777777" w:rsidR="00AB52B4" w:rsidRPr="00221D67" w:rsidRDefault="00936274" w:rsidP="00F12881">
            <w:pPr>
              <w:pStyle w:val="Style3"/>
            </w:pPr>
            <w:r w:rsidRPr="00221D67">
              <w:t>3.34</w:t>
            </w:r>
          </w:p>
        </w:tc>
        <w:tc>
          <w:tcPr>
            <w:tcW w:w="1693" w:type="dxa"/>
          </w:tcPr>
          <w:p w14:paraId="355E088D" w14:textId="77777777" w:rsidR="00AB52B4" w:rsidRPr="00221D67" w:rsidRDefault="00936274" w:rsidP="00F12881">
            <w:pPr>
              <w:pStyle w:val="Style3"/>
            </w:pPr>
            <w:r w:rsidRPr="00221D67">
              <w:t>0.07</w:t>
            </w:r>
          </w:p>
        </w:tc>
      </w:tr>
      <w:tr w:rsidR="00AB52B4" w:rsidRPr="008675CA" w14:paraId="7FA13F9D" w14:textId="77777777" w:rsidTr="007A771A">
        <w:tc>
          <w:tcPr>
            <w:tcW w:w="552" w:type="dxa"/>
          </w:tcPr>
          <w:p w14:paraId="487D66FE" w14:textId="77777777" w:rsidR="00AB52B4" w:rsidRPr="00221D67" w:rsidRDefault="00AB52B4" w:rsidP="00F12881">
            <w:pPr>
              <w:pStyle w:val="Style3"/>
            </w:pPr>
            <w:r w:rsidRPr="00221D67">
              <w:t>5</w:t>
            </w:r>
          </w:p>
        </w:tc>
        <w:tc>
          <w:tcPr>
            <w:tcW w:w="1824" w:type="dxa"/>
          </w:tcPr>
          <w:p w14:paraId="0DE4EEAD" w14:textId="77777777" w:rsidR="00AB52B4" w:rsidRPr="00221D67" w:rsidRDefault="00AB52B4" w:rsidP="00F12881">
            <w:pPr>
              <w:pStyle w:val="Style3"/>
            </w:pPr>
            <w:r w:rsidRPr="00221D67">
              <w:t>Plant &amp; Machinery</w:t>
            </w:r>
          </w:p>
        </w:tc>
        <w:tc>
          <w:tcPr>
            <w:tcW w:w="1560" w:type="dxa"/>
          </w:tcPr>
          <w:p w14:paraId="22A51281" w14:textId="77777777" w:rsidR="00AB52B4" w:rsidRPr="00221D67" w:rsidRDefault="00936274" w:rsidP="00F12881">
            <w:pPr>
              <w:pStyle w:val="Style3"/>
            </w:pPr>
            <w:r w:rsidRPr="00221D67">
              <w:t>9.77</w:t>
            </w:r>
          </w:p>
        </w:tc>
        <w:tc>
          <w:tcPr>
            <w:tcW w:w="1275" w:type="dxa"/>
          </w:tcPr>
          <w:p w14:paraId="31C3A66C" w14:textId="77777777" w:rsidR="00AB52B4" w:rsidRPr="00221D67" w:rsidRDefault="00936274" w:rsidP="00F12881">
            <w:pPr>
              <w:pStyle w:val="Style3"/>
            </w:pPr>
            <w:r w:rsidRPr="00221D67">
              <w:t>0.24</w:t>
            </w:r>
          </w:p>
        </w:tc>
        <w:tc>
          <w:tcPr>
            <w:tcW w:w="1418" w:type="dxa"/>
          </w:tcPr>
          <w:p w14:paraId="39D4429E" w14:textId="77777777" w:rsidR="00AB52B4" w:rsidRPr="00221D67" w:rsidRDefault="00936274" w:rsidP="00F12881">
            <w:pPr>
              <w:pStyle w:val="Style3"/>
            </w:pPr>
            <w:r w:rsidRPr="00221D67">
              <w:t>10.01</w:t>
            </w:r>
          </w:p>
        </w:tc>
        <w:tc>
          <w:tcPr>
            <w:tcW w:w="1511" w:type="dxa"/>
          </w:tcPr>
          <w:p w14:paraId="1F0C88E2" w14:textId="77777777" w:rsidR="00AB52B4" w:rsidRPr="00221D67" w:rsidRDefault="00936274" w:rsidP="00F12881">
            <w:pPr>
              <w:pStyle w:val="Style3"/>
            </w:pPr>
            <w:r w:rsidRPr="00221D67">
              <w:t>5.28&amp;6.33</w:t>
            </w:r>
          </w:p>
        </w:tc>
        <w:tc>
          <w:tcPr>
            <w:tcW w:w="1693" w:type="dxa"/>
          </w:tcPr>
          <w:p w14:paraId="3EEC05A4" w14:textId="77777777" w:rsidR="00AB52B4" w:rsidRPr="00221D67" w:rsidRDefault="00936274" w:rsidP="00F12881">
            <w:pPr>
              <w:pStyle w:val="Style3"/>
            </w:pPr>
            <w:r w:rsidRPr="00221D67">
              <w:t>0.52</w:t>
            </w:r>
          </w:p>
        </w:tc>
      </w:tr>
      <w:tr w:rsidR="00AB52B4" w:rsidRPr="008675CA" w14:paraId="66947AFE" w14:textId="77777777" w:rsidTr="007A771A">
        <w:tc>
          <w:tcPr>
            <w:tcW w:w="552" w:type="dxa"/>
          </w:tcPr>
          <w:p w14:paraId="68125E79" w14:textId="77777777" w:rsidR="00AB52B4" w:rsidRPr="00221D67" w:rsidRDefault="00AB52B4" w:rsidP="00F12881">
            <w:pPr>
              <w:pStyle w:val="Style3"/>
            </w:pPr>
            <w:r w:rsidRPr="00221D67">
              <w:t>6</w:t>
            </w:r>
          </w:p>
        </w:tc>
        <w:tc>
          <w:tcPr>
            <w:tcW w:w="1824" w:type="dxa"/>
          </w:tcPr>
          <w:p w14:paraId="23BF2C4A" w14:textId="77777777" w:rsidR="00AB52B4" w:rsidRPr="00221D67" w:rsidRDefault="00AB52B4" w:rsidP="00F12881">
            <w:pPr>
              <w:pStyle w:val="Style3"/>
            </w:pPr>
            <w:r w:rsidRPr="00221D67">
              <w:t>Lines &amp; Cable network</w:t>
            </w:r>
          </w:p>
        </w:tc>
        <w:tc>
          <w:tcPr>
            <w:tcW w:w="1560" w:type="dxa"/>
          </w:tcPr>
          <w:p w14:paraId="7812CEAC" w14:textId="77777777" w:rsidR="00AB52B4" w:rsidRPr="00221D67" w:rsidRDefault="00936274" w:rsidP="00F12881">
            <w:pPr>
              <w:pStyle w:val="Style3"/>
            </w:pPr>
            <w:r w:rsidRPr="00221D67">
              <w:t>1.15</w:t>
            </w:r>
          </w:p>
        </w:tc>
        <w:tc>
          <w:tcPr>
            <w:tcW w:w="1275" w:type="dxa"/>
          </w:tcPr>
          <w:p w14:paraId="048F9ABE" w14:textId="77777777" w:rsidR="00AB52B4" w:rsidRPr="00221D67" w:rsidRDefault="00936274" w:rsidP="00F12881">
            <w:pPr>
              <w:pStyle w:val="Style3"/>
            </w:pPr>
            <w:r w:rsidRPr="00221D67">
              <w:t>0.26</w:t>
            </w:r>
          </w:p>
        </w:tc>
        <w:tc>
          <w:tcPr>
            <w:tcW w:w="1418" w:type="dxa"/>
          </w:tcPr>
          <w:p w14:paraId="1430210D" w14:textId="77777777" w:rsidR="00AB52B4" w:rsidRPr="00221D67" w:rsidRDefault="00936274" w:rsidP="00F12881">
            <w:pPr>
              <w:pStyle w:val="Style3"/>
            </w:pPr>
            <w:r w:rsidRPr="00221D67">
              <w:t>1.41</w:t>
            </w:r>
          </w:p>
        </w:tc>
        <w:tc>
          <w:tcPr>
            <w:tcW w:w="1511" w:type="dxa"/>
          </w:tcPr>
          <w:p w14:paraId="1570A1C7" w14:textId="77777777" w:rsidR="00AB52B4" w:rsidRPr="00221D67" w:rsidRDefault="00936274" w:rsidP="00F12881">
            <w:pPr>
              <w:pStyle w:val="Style3"/>
            </w:pPr>
            <w:r w:rsidRPr="00221D67">
              <w:t>5.28</w:t>
            </w:r>
          </w:p>
        </w:tc>
        <w:tc>
          <w:tcPr>
            <w:tcW w:w="1693" w:type="dxa"/>
          </w:tcPr>
          <w:p w14:paraId="1CFB0FA9" w14:textId="77777777" w:rsidR="00AB52B4" w:rsidRPr="00221D67" w:rsidRDefault="00936274" w:rsidP="00F12881">
            <w:pPr>
              <w:pStyle w:val="Style3"/>
            </w:pPr>
            <w:r w:rsidRPr="00221D67">
              <w:t>0.07</w:t>
            </w:r>
          </w:p>
        </w:tc>
      </w:tr>
      <w:tr w:rsidR="00AB52B4" w:rsidRPr="008675CA" w14:paraId="0BD0A90C" w14:textId="77777777" w:rsidTr="007A771A">
        <w:tc>
          <w:tcPr>
            <w:tcW w:w="552" w:type="dxa"/>
          </w:tcPr>
          <w:p w14:paraId="693F4FBE" w14:textId="77777777" w:rsidR="00AB52B4" w:rsidRPr="00221D67" w:rsidRDefault="00AB52B4" w:rsidP="00F12881">
            <w:pPr>
              <w:pStyle w:val="Style3"/>
            </w:pPr>
            <w:r w:rsidRPr="00221D67">
              <w:lastRenderedPageBreak/>
              <w:t>7</w:t>
            </w:r>
          </w:p>
        </w:tc>
        <w:tc>
          <w:tcPr>
            <w:tcW w:w="1824" w:type="dxa"/>
          </w:tcPr>
          <w:p w14:paraId="3CE31453" w14:textId="77777777" w:rsidR="00AB52B4" w:rsidRPr="00221D67" w:rsidRDefault="00AB52B4" w:rsidP="00F12881">
            <w:pPr>
              <w:pStyle w:val="Style3"/>
            </w:pPr>
            <w:r w:rsidRPr="00221D67">
              <w:t>Vehicles</w:t>
            </w:r>
          </w:p>
        </w:tc>
        <w:tc>
          <w:tcPr>
            <w:tcW w:w="1560" w:type="dxa"/>
          </w:tcPr>
          <w:p w14:paraId="6E8F87FF" w14:textId="77777777" w:rsidR="00AB52B4" w:rsidRPr="00221D67" w:rsidRDefault="00936274" w:rsidP="00F12881">
            <w:pPr>
              <w:pStyle w:val="Style3"/>
            </w:pPr>
            <w:r w:rsidRPr="00221D67">
              <w:t>-</w:t>
            </w:r>
          </w:p>
        </w:tc>
        <w:tc>
          <w:tcPr>
            <w:tcW w:w="1275" w:type="dxa"/>
          </w:tcPr>
          <w:p w14:paraId="1361254B" w14:textId="77777777" w:rsidR="00AB52B4" w:rsidRPr="00221D67" w:rsidRDefault="00936274" w:rsidP="00F12881">
            <w:pPr>
              <w:pStyle w:val="Style3"/>
            </w:pPr>
            <w:r w:rsidRPr="00221D67">
              <w:t>-</w:t>
            </w:r>
          </w:p>
        </w:tc>
        <w:tc>
          <w:tcPr>
            <w:tcW w:w="1418" w:type="dxa"/>
          </w:tcPr>
          <w:p w14:paraId="10E07834" w14:textId="77777777" w:rsidR="00AB52B4" w:rsidRPr="00221D67" w:rsidRDefault="00936274" w:rsidP="00F12881">
            <w:pPr>
              <w:pStyle w:val="Style3"/>
            </w:pPr>
            <w:r w:rsidRPr="00221D67">
              <w:t>-</w:t>
            </w:r>
          </w:p>
        </w:tc>
        <w:tc>
          <w:tcPr>
            <w:tcW w:w="1511" w:type="dxa"/>
          </w:tcPr>
          <w:p w14:paraId="0E702116" w14:textId="77777777" w:rsidR="00AB52B4" w:rsidRPr="00221D67" w:rsidRDefault="00936274" w:rsidP="00F12881">
            <w:pPr>
              <w:pStyle w:val="Style3"/>
            </w:pPr>
            <w:r w:rsidRPr="00221D67">
              <w:t>9.5</w:t>
            </w:r>
          </w:p>
        </w:tc>
        <w:tc>
          <w:tcPr>
            <w:tcW w:w="1693" w:type="dxa"/>
          </w:tcPr>
          <w:p w14:paraId="7EB1F353" w14:textId="77777777" w:rsidR="00AB52B4" w:rsidRPr="00221D67" w:rsidRDefault="00936274" w:rsidP="00F12881">
            <w:pPr>
              <w:pStyle w:val="Style3"/>
            </w:pPr>
            <w:r w:rsidRPr="00221D67">
              <w:t>-</w:t>
            </w:r>
          </w:p>
        </w:tc>
      </w:tr>
      <w:tr w:rsidR="00AB52B4" w:rsidRPr="008675CA" w14:paraId="6D021F3A" w14:textId="77777777" w:rsidTr="007A771A">
        <w:trPr>
          <w:trHeight w:val="551"/>
        </w:trPr>
        <w:tc>
          <w:tcPr>
            <w:tcW w:w="552" w:type="dxa"/>
          </w:tcPr>
          <w:p w14:paraId="5EF1E86E" w14:textId="77777777" w:rsidR="00AB52B4" w:rsidRPr="00221D67" w:rsidRDefault="00AB52B4" w:rsidP="00F12881">
            <w:pPr>
              <w:pStyle w:val="Style3"/>
            </w:pPr>
            <w:r w:rsidRPr="00221D67">
              <w:t>8</w:t>
            </w:r>
          </w:p>
        </w:tc>
        <w:tc>
          <w:tcPr>
            <w:tcW w:w="1824" w:type="dxa"/>
          </w:tcPr>
          <w:p w14:paraId="016EB136" w14:textId="77777777" w:rsidR="00AB52B4" w:rsidRPr="00221D67" w:rsidRDefault="00AB52B4" w:rsidP="00F12881">
            <w:pPr>
              <w:pStyle w:val="Style3"/>
            </w:pPr>
            <w:r w:rsidRPr="00221D67">
              <w:t>Furniture &amp; Fixtures</w:t>
            </w:r>
          </w:p>
        </w:tc>
        <w:tc>
          <w:tcPr>
            <w:tcW w:w="1560" w:type="dxa"/>
          </w:tcPr>
          <w:p w14:paraId="0E9111A7" w14:textId="77777777" w:rsidR="00AB52B4" w:rsidRPr="00221D67" w:rsidRDefault="00936274" w:rsidP="00F12881">
            <w:pPr>
              <w:pStyle w:val="Style3"/>
            </w:pPr>
            <w:r w:rsidRPr="00221D67">
              <w:t>0.01</w:t>
            </w:r>
          </w:p>
        </w:tc>
        <w:tc>
          <w:tcPr>
            <w:tcW w:w="1275" w:type="dxa"/>
          </w:tcPr>
          <w:p w14:paraId="6E5EED83" w14:textId="77777777" w:rsidR="00AB52B4" w:rsidRPr="00221D67" w:rsidRDefault="00936274" w:rsidP="00F12881">
            <w:pPr>
              <w:pStyle w:val="Style3"/>
            </w:pPr>
            <w:r w:rsidRPr="00221D67">
              <w:t>-</w:t>
            </w:r>
          </w:p>
        </w:tc>
        <w:tc>
          <w:tcPr>
            <w:tcW w:w="1418" w:type="dxa"/>
          </w:tcPr>
          <w:p w14:paraId="4ACAA89F" w14:textId="77777777" w:rsidR="00AB52B4" w:rsidRPr="00221D67" w:rsidRDefault="00936274" w:rsidP="00F12881">
            <w:pPr>
              <w:pStyle w:val="Style3"/>
            </w:pPr>
            <w:r w:rsidRPr="00221D67">
              <w:t>0.01</w:t>
            </w:r>
          </w:p>
        </w:tc>
        <w:tc>
          <w:tcPr>
            <w:tcW w:w="1511" w:type="dxa"/>
          </w:tcPr>
          <w:p w14:paraId="5BB3BEE4" w14:textId="77777777" w:rsidR="00AB52B4" w:rsidRPr="00221D67" w:rsidRDefault="00936274" w:rsidP="00F12881">
            <w:pPr>
              <w:pStyle w:val="Style3"/>
            </w:pPr>
            <w:r w:rsidRPr="00221D67">
              <w:t>6.33</w:t>
            </w:r>
          </w:p>
        </w:tc>
        <w:tc>
          <w:tcPr>
            <w:tcW w:w="1693" w:type="dxa"/>
          </w:tcPr>
          <w:p w14:paraId="19AF1695" w14:textId="77777777" w:rsidR="00AB52B4" w:rsidRPr="00221D67" w:rsidRDefault="00936274" w:rsidP="00F12881">
            <w:pPr>
              <w:pStyle w:val="Style3"/>
            </w:pPr>
            <w:r w:rsidRPr="00221D67">
              <w:t>0.0007</w:t>
            </w:r>
          </w:p>
        </w:tc>
      </w:tr>
      <w:tr w:rsidR="00AB52B4" w:rsidRPr="008675CA" w14:paraId="024AC081" w14:textId="77777777" w:rsidTr="007A771A">
        <w:trPr>
          <w:trHeight w:val="313"/>
        </w:trPr>
        <w:tc>
          <w:tcPr>
            <w:tcW w:w="552" w:type="dxa"/>
          </w:tcPr>
          <w:p w14:paraId="0574F0C1" w14:textId="77777777" w:rsidR="00AB52B4" w:rsidRPr="00221D67" w:rsidRDefault="00AB52B4" w:rsidP="00F12881">
            <w:pPr>
              <w:pStyle w:val="Style3"/>
            </w:pPr>
            <w:r w:rsidRPr="00221D67">
              <w:t>9</w:t>
            </w:r>
          </w:p>
        </w:tc>
        <w:tc>
          <w:tcPr>
            <w:tcW w:w="1824" w:type="dxa"/>
          </w:tcPr>
          <w:p w14:paraId="7244D92D" w14:textId="77777777" w:rsidR="00AB52B4" w:rsidRPr="00221D67" w:rsidRDefault="00AB52B4" w:rsidP="00F12881">
            <w:pPr>
              <w:pStyle w:val="Style3"/>
            </w:pPr>
            <w:r w:rsidRPr="00221D67">
              <w:t>Office Equipment</w:t>
            </w:r>
          </w:p>
        </w:tc>
        <w:tc>
          <w:tcPr>
            <w:tcW w:w="1560" w:type="dxa"/>
          </w:tcPr>
          <w:p w14:paraId="564C94F9" w14:textId="77777777" w:rsidR="00AB52B4" w:rsidRPr="00221D67" w:rsidRDefault="00936274" w:rsidP="00F12881">
            <w:pPr>
              <w:pStyle w:val="Style3"/>
            </w:pPr>
            <w:r w:rsidRPr="00221D67">
              <w:t>0.009</w:t>
            </w:r>
          </w:p>
        </w:tc>
        <w:tc>
          <w:tcPr>
            <w:tcW w:w="1275" w:type="dxa"/>
          </w:tcPr>
          <w:p w14:paraId="52FBF796" w14:textId="77777777" w:rsidR="00AB52B4" w:rsidRPr="00221D67" w:rsidRDefault="00936274" w:rsidP="00F12881">
            <w:pPr>
              <w:pStyle w:val="Style3"/>
            </w:pPr>
            <w:r w:rsidRPr="00221D67">
              <w:t>0.001</w:t>
            </w:r>
          </w:p>
        </w:tc>
        <w:tc>
          <w:tcPr>
            <w:tcW w:w="1418" w:type="dxa"/>
          </w:tcPr>
          <w:p w14:paraId="27561B3F" w14:textId="77777777" w:rsidR="00AB52B4" w:rsidRPr="00221D67" w:rsidRDefault="00936274" w:rsidP="00F12881">
            <w:pPr>
              <w:pStyle w:val="Style3"/>
            </w:pPr>
            <w:r w:rsidRPr="00221D67">
              <w:t>0.0096</w:t>
            </w:r>
          </w:p>
        </w:tc>
        <w:tc>
          <w:tcPr>
            <w:tcW w:w="1511" w:type="dxa"/>
          </w:tcPr>
          <w:p w14:paraId="2D600CFD" w14:textId="77777777" w:rsidR="00AB52B4" w:rsidRPr="00221D67" w:rsidRDefault="00936274" w:rsidP="00F12881">
            <w:pPr>
              <w:pStyle w:val="Style3"/>
            </w:pPr>
            <w:r w:rsidRPr="00221D67">
              <w:t>6.33</w:t>
            </w:r>
          </w:p>
        </w:tc>
        <w:tc>
          <w:tcPr>
            <w:tcW w:w="1693" w:type="dxa"/>
          </w:tcPr>
          <w:p w14:paraId="58DF1C3A" w14:textId="77777777" w:rsidR="00AB52B4" w:rsidRPr="00221D67" w:rsidRDefault="00936274" w:rsidP="00F12881">
            <w:pPr>
              <w:pStyle w:val="Style3"/>
            </w:pPr>
            <w:r w:rsidRPr="00221D67">
              <w:t>0.0006</w:t>
            </w:r>
          </w:p>
        </w:tc>
      </w:tr>
      <w:tr w:rsidR="00AB52B4" w:rsidRPr="008675CA" w14:paraId="738A4599" w14:textId="77777777" w:rsidTr="007A771A">
        <w:tc>
          <w:tcPr>
            <w:tcW w:w="552" w:type="dxa"/>
          </w:tcPr>
          <w:p w14:paraId="08C7C9C4" w14:textId="77777777" w:rsidR="00AB52B4" w:rsidRPr="00221D67" w:rsidRDefault="00AB52B4" w:rsidP="00F12881">
            <w:pPr>
              <w:pStyle w:val="Style3"/>
            </w:pPr>
            <w:r w:rsidRPr="00221D67">
              <w:t>10</w:t>
            </w:r>
          </w:p>
        </w:tc>
        <w:tc>
          <w:tcPr>
            <w:tcW w:w="1824" w:type="dxa"/>
          </w:tcPr>
          <w:p w14:paraId="739420D2" w14:textId="77777777" w:rsidR="00AB52B4" w:rsidRPr="00221D67" w:rsidRDefault="00AB52B4" w:rsidP="00F12881">
            <w:pPr>
              <w:pStyle w:val="Style3"/>
            </w:pPr>
            <w:r w:rsidRPr="00221D67">
              <w:t>Assets not in use</w:t>
            </w:r>
          </w:p>
        </w:tc>
        <w:tc>
          <w:tcPr>
            <w:tcW w:w="1560" w:type="dxa"/>
          </w:tcPr>
          <w:p w14:paraId="14BC071A" w14:textId="77777777" w:rsidR="00AB52B4" w:rsidRPr="00221D67" w:rsidRDefault="00936274" w:rsidP="00F12881">
            <w:pPr>
              <w:pStyle w:val="Style3"/>
            </w:pPr>
            <w:r w:rsidRPr="00221D67">
              <w:t>-</w:t>
            </w:r>
          </w:p>
        </w:tc>
        <w:tc>
          <w:tcPr>
            <w:tcW w:w="1275" w:type="dxa"/>
          </w:tcPr>
          <w:p w14:paraId="0C692D84" w14:textId="77777777" w:rsidR="00AB52B4" w:rsidRPr="00221D67" w:rsidRDefault="00936274" w:rsidP="00F12881">
            <w:pPr>
              <w:pStyle w:val="Style3"/>
            </w:pPr>
            <w:r w:rsidRPr="00221D67">
              <w:t>-</w:t>
            </w:r>
          </w:p>
        </w:tc>
        <w:tc>
          <w:tcPr>
            <w:tcW w:w="1418" w:type="dxa"/>
          </w:tcPr>
          <w:p w14:paraId="3A03D5DA" w14:textId="77777777" w:rsidR="00AB52B4" w:rsidRPr="00221D67" w:rsidRDefault="00AB52B4" w:rsidP="00F12881">
            <w:pPr>
              <w:pStyle w:val="Style3"/>
            </w:pPr>
          </w:p>
        </w:tc>
        <w:tc>
          <w:tcPr>
            <w:tcW w:w="1511" w:type="dxa"/>
          </w:tcPr>
          <w:p w14:paraId="402FEF2D" w14:textId="77777777" w:rsidR="00AB52B4" w:rsidRPr="00221D67" w:rsidRDefault="00AB52B4" w:rsidP="00F12881">
            <w:pPr>
              <w:pStyle w:val="Style3"/>
            </w:pPr>
          </w:p>
        </w:tc>
        <w:tc>
          <w:tcPr>
            <w:tcW w:w="1693" w:type="dxa"/>
          </w:tcPr>
          <w:p w14:paraId="09F7692B" w14:textId="77777777" w:rsidR="00AB52B4" w:rsidRPr="00221D67" w:rsidRDefault="00936274" w:rsidP="00F12881">
            <w:pPr>
              <w:pStyle w:val="Style3"/>
            </w:pPr>
            <w:r w:rsidRPr="00221D67">
              <w:t>-</w:t>
            </w:r>
          </w:p>
        </w:tc>
      </w:tr>
      <w:tr w:rsidR="00936274" w:rsidRPr="008675CA" w14:paraId="509D1ABC" w14:textId="77777777" w:rsidTr="007A771A">
        <w:tc>
          <w:tcPr>
            <w:tcW w:w="552" w:type="dxa"/>
          </w:tcPr>
          <w:p w14:paraId="1A9CFA84" w14:textId="77777777" w:rsidR="00936274" w:rsidRPr="008675CA" w:rsidRDefault="00936274" w:rsidP="00F12881">
            <w:pPr>
              <w:pStyle w:val="Style3"/>
            </w:pPr>
            <w:r w:rsidRPr="008675CA">
              <w:t>11</w:t>
            </w:r>
          </w:p>
        </w:tc>
        <w:tc>
          <w:tcPr>
            <w:tcW w:w="1824" w:type="dxa"/>
          </w:tcPr>
          <w:p w14:paraId="13435E37" w14:textId="77777777" w:rsidR="00936274" w:rsidRPr="008675CA" w:rsidRDefault="00936274" w:rsidP="00F12881">
            <w:pPr>
              <w:pStyle w:val="Style3"/>
            </w:pPr>
            <w:r w:rsidRPr="008675CA">
              <w:t xml:space="preserve">Total </w:t>
            </w:r>
          </w:p>
        </w:tc>
        <w:tc>
          <w:tcPr>
            <w:tcW w:w="1560" w:type="dxa"/>
          </w:tcPr>
          <w:p w14:paraId="1A8229AB" w14:textId="77777777" w:rsidR="00936274" w:rsidRPr="008675CA" w:rsidRDefault="00936274" w:rsidP="00EC3652">
            <w:pPr>
              <w:jc w:val="center"/>
              <w:rPr>
                <w:rFonts w:asciiTheme="majorHAnsi" w:hAnsiTheme="majorHAnsi"/>
              </w:rPr>
            </w:pPr>
            <w:r w:rsidRPr="008675CA">
              <w:rPr>
                <w:rFonts w:asciiTheme="majorHAnsi" w:hAnsiTheme="majorHAnsi"/>
              </w:rPr>
              <w:t>24.34</w:t>
            </w:r>
          </w:p>
        </w:tc>
        <w:tc>
          <w:tcPr>
            <w:tcW w:w="1275" w:type="dxa"/>
          </w:tcPr>
          <w:p w14:paraId="0E8535C1" w14:textId="77777777" w:rsidR="00936274" w:rsidRPr="008675CA" w:rsidRDefault="00936274" w:rsidP="00EC3652">
            <w:pPr>
              <w:jc w:val="center"/>
              <w:rPr>
                <w:rFonts w:asciiTheme="majorHAnsi" w:hAnsiTheme="majorHAnsi"/>
              </w:rPr>
            </w:pPr>
            <w:r w:rsidRPr="008675CA">
              <w:rPr>
                <w:rFonts w:asciiTheme="majorHAnsi" w:hAnsiTheme="majorHAnsi"/>
              </w:rPr>
              <w:t>1.36</w:t>
            </w:r>
          </w:p>
        </w:tc>
        <w:tc>
          <w:tcPr>
            <w:tcW w:w="1418" w:type="dxa"/>
          </w:tcPr>
          <w:p w14:paraId="276BDC2C" w14:textId="77777777" w:rsidR="00936274" w:rsidRPr="008675CA" w:rsidRDefault="00936274" w:rsidP="00EC3652">
            <w:pPr>
              <w:jc w:val="center"/>
              <w:rPr>
                <w:rFonts w:asciiTheme="majorHAnsi" w:hAnsiTheme="majorHAnsi"/>
              </w:rPr>
            </w:pPr>
            <w:r w:rsidRPr="008675CA">
              <w:rPr>
                <w:rFonts w:asciiTheme="majorHAnsi" w:hAnsiTheme="majorHAnsi"/>
              </w:rPr>
              <w:t>25.7</w:t>
            </w:r>
          </w:p>
        </w:tc>
        <w:tc>
          <w:tcPr>
            <w:tcW w:w="1511" w:type="dxa"/>
          </w:tcPr>
          <w:p w14:paraId="6FEA3A28" w14:textId="77777777" w:rsidR="00936274" w:rsidRPr="008675CA" w:rsidRDefault="00936274" w:rsidP="00EC3652">
            <w:pPr>
              <w:jc w:val="center"/>
              <w:rPr>
                <w:rFonts w:asciiTheme="majorHAnsi" w:hAnsiTheme="majorHAnsi"/>
              </w:rPr>
            </w:pPr>
          </w:p>
        </w:tc>
        <w:tc>
          <w:tcPr>
            <w:tcW w:w="1693" w:type="dxa"/>
          </w:tcPr>
          <w:p w14:paraId="07C5F6E3" w14:textId="6CE183A9" w:rsidR="00936274" w:rsidRPr="008675CA" w:rsidRDefault="00221D67" w:rsidP="00EC3652">
            <w:pPr>
              <w:jc w:val="center"/>
              <w:rPr>
                <w:rFonts w:asciiTheme="majorHAnsi" w:hAnsiTheme="majorHAnsi"/>
              </w:rPr>
            </w:pPr>
            <w:r>
              <w:rPr>
                <w:rFonts w:asciiTheme="majorHAnsi" w:hAnsiTheme="majorHAnsi"/>
              </w:rPr>
              <w:t>1.25</w:t>
            </w:r>
          </w:p>
        </w:tc>
      </w:tr>
    </w:tbl>
    <w:p w14:paraId="3FC72D19" w14:textId="773F02C3" w:rsidR="00DA77FC" w:rsidRPr="008675CA" w:rsidRDefault="00DA77FC" w:rsidP="001C5AAB">
      <w:pPr>
        <w:tabs>
          <w:tab w:val="left" w:pos="6208"/>
        </w:tabs>
        <w:ind w:left="426"/>
        <w:jc w:val="both"/>
        <w:rPr>
          <w:rFonts w:asciiTheme="majorHAnsi" w:hAnsiTheme="majorHAnsi"/>
        </w:rPr>
      </w:pPr>
      <w:r w:rsidRPr="008675CA">
        <w:rPr>
          <w:rFonts w:asciiTheme="majorHAnsi" w:hAnsiTheme="majorHAnsi"/>
        </w:rPr>
        <w:t>Therefore, MePGCL</w:t>
      </w:r>
      <w:r w:rsidR="0057523F" w:rsidRPr="008675CA">
        <w:rPr>
          <w:rFonts w:asciiTheme="majorHAnsi" w:hAnsiTheme="majorHAnsi"/>
        </w:rPr>
        <w:t xml:space="preserve"> </w:t>
      </w:r>
      <w:r w:rsidRPr="008675CA">
        <w:rPr>
          <w:rFonts w:asciiTheme="majorHAnsi" w:hAnsiTheme="majorHAnsi"/>
        </w:rPr>
        <w:t xml:space="preserve">prays before the Hon’ble Commission to kindly consider the depreciation as per true up petition at </w:t>
      </w:r>
      <w:r w:rsidR="00936274" w:rsidRPr="008675CA">
        <w:rPr>
          <w:rFonts w:asciiTheme="majorHAnsi" w:hAnsiTheme="majorHAnsi"/>
          <w:b/>
        </w:rPr>
        <w:t>Rs.1.2</w:t>
      </w:r>
      <w:r w:rsidR="00EC3652">
        <w:rPr>
          <w:rFonts w:asciiTheme="majorHAnsi" w:hAnsiTheme="majorHAnsi"/>
          <w:b/>
        </w:rPr>
        <w:t>5</w:t>
      </w:r>
      <w:r w:rsidRPr="008675CA">
        <w:rPr>
          <w:rFonts w:asciiTheme="majorHAnsi" w:hAnsiTheme="majorHAnsi"/>
          <w:b/>
        </w:rPr>
        <w:t xml:space="preserve"> Cr.</w:t>
      </w:r>
    </w:p>
    <w:p w14:paraId="5719FE48" w14:textId="77777777" w:rsidR="00DA77FC" w:rsidRPr="008675CA" w:rsidRDefault="00372DCD" w:rsidP="00DA77FC">
      <w:pPr>
        <w:tabs>
          <w:tab w:val="left" w:pos="6208"/>
        </w:tabs>
        <w:spacing w:after="0"/>
        <w:jc w:val="both"/>
        <w:rPr>
          <w:rFonts w:asciiTheme="majorHAnsi" w:hAnsiTheme="majorHAnsi"/>
          <w:b/>
        </w:rPr>
      </w:pPr>
      <w:r w:rsidRPr="008675CA">
        <w:rPr>
          <w:rFonts w:asciiTheme="majorHAnsi" w:hAnsiTheme="majorHAnsi"/>
        </w:rPr>
        <w:t>2</w:t>
      </w:r>
      <w:r w:rsidR="00DA77FC" w:rsidRPr="008675CA">
        <w:rPr>
          <w:rFonts w:asciiTheme="majorHAnsi" w:hAnsiTheme="majorHAnsi"/>
        </w:rPr>
        <w:t xml:space="preserve">.4.3. </w:t>
      </w:r>
      <w:r w:rsidR="00DA77FC" w:rsidRPr="008675CA">
        <w:rPr>
          <w:rFonts w:asciiTheme="majorHAnsi" w:hAnsiTheme="majorHAnsi"/>
          <w:b/>
        </w:rPr>
        <w:t>Return on Equity (RoE)</w:t>
      </w:r>
    </w:p>
    <w:p w14:paraId="1B3D0712" w14:textId="77777777" w:rsidR="00DA77FC" w:rsidRPr="008675CA" w:rsidRDefault="00DA77FC" w:rsidP="001C5AAB">
      <w:pPr>
        <w:tabs>
          <w:tab w:val="left" w:pos="6208"/>
        </w:tabs>
        <w:spacing w:after="0"/>
        <w:ind w:left="426"/>
        <w:jc w:val="both"/>
        <w:rPr>
          <w:rFonts w:asciiTheme="majorHAnsi" w:hAnsiTheme="majorHAnsi"/>
        </w:rPr>
      </w:pPr>
      <w:r w:rsidRPr="008675CA">
        <w:rPr>
          <w:rFonts w:asciiTheme="majorHAnsi" w:hAnsiTheme="majorHAnsi"/>
        </w:rPr>
        <w:t xml:space="preserve">The RoE considered by the Hon’ble Commission for Lakroh MHP for FY </w:t>
      </w:r>
      <w:r w:rsidR="00936274" w:rsidRPr="008675CA">
        <w:rPr>
          <w:rFonts w:asciiTheme="majorHAnsi" w:hAnsiTheme="majorHAnsi"/>
        </w:rPr>
        <w:t xml:space="preserve">2020-21 is </w:t>
      </w:r>
      <w:r w:rsidRPr="008675CA">
        <w:rPr>
          <w:rFonts w:asciiTheme="majorHAnsi" w:hAnsiTheme="majorHAnsi"/>
        </w:rPr>
        <w:t>R</w:t>
      </w:r>
      <w:r w:rsidR="00936274" w:rsidRPr="008675CA">
        <w:rPr>
          <w:rFonts w:asciiTheme="majorHAnsi" w:hAnsiTheme="majorHAnsi"/>
        </w:rPr>
        <w:t>s. 0.42</w:t>
      </w:r>
      <w:r w:rsidRPr="008675CA">
        <w:rPr>
          <w:rFonts w:asciiTheme="majorHAnsi" w:hAnsiTheme="majorHAnsi"/>
        </w:rPr>
        <w:t xml:space="preserve"> Cr. Based on Average GFA (</w:t>
      </w:r>
      <w:r w:rsidR="00936274" w:rsidRPr="008675CA">
        <w:rPr>
          <w:rFonts w:asciiTheme="majorHAnsi" w:hAnsiTheme="majorHAnsi"/>
        </w:rPr>
        <w:t>Rs.21.73</w:t>
      </w:r>
      <w:r w:rsidRPr="008675CA">
        <w:rPr>
          <w:rFonts w:asciiTheme="majorHAnsi" w:hAnsiTheme="majorHAnsi"/>
        </w:rPr>
        <w:t xml:space="preserve"> Cr), MePGCL</w:t>
      </w:r>
      <w:r w:rsidR="0057523F" w:rsidRPr="008675CA">
        <w:rPr>
          <w:rFonts w:asciiTheme="majorHAnsi" w:hAnsiTheme="majorHAnsi"/>
        </w:rPr>
        <w:t xml:space="preserve"> </w:t>
      </w:r>
      <w:r w:rsidRPr="008675CA">
        <w:rPr>
          <w:rFonts w:asciiTheme="majorHAnsi" w:hAnsiTheme="majorHAnsi"/>
        </w:rPr>
        <w:t>re</w:t>
      </w:r>
      <w:r w:rsidR="007C46EE">
        <w:rPr>
          <w:rFonts w:asciiTheme="majorHAnsi" w:hAnsiTheme="majorHAnsi"/>
        </w:rPr>
        <w:t xml:space="preserve">view the RoE for Lakroh MHP as </w:t>
      </w:r>
      <w:r w:rsidR="00936274" w:rsidRPr="008675CA">
        <w:rPr>
          <w:rFonts w:asciiTheme="majorHAnsi" w:hAnsiTheme="majorHAnsi"/>
        </w:rPr>
        <w:t>Rs.</w:t>
      </w:r>
      <w:r w:rsidR="00397C21" w:rsidRPr="008675CA">
        <w:rPr>
          <w:rFonts w:asciiTheme="majorHAnsi" w:hAnsiTheme="majorHAnsi"/>
        </w:rPr>
        <w:t>0.56</w:t>
      </w:r>
      <w:r w:rsidRPr="008675CA">
        <w:rPr>
          <w:rFonts w:asciiTheme="majorHAnsi" w:hAnsiTheme="majorHAnsi"/>
        </w:rPr>
        <w:t xml:space="preserve"> Cr. shown in the table below:</w:t>
      </w:r>
    </w:p>
    <w:p w14:paraId="646306AA" w14:textId="5D7AE506" w:rsidR="00DA77FC" w:rsidRPr="008675CA" w:rsidRDefault="00DA77FC" w:rsidP="00DA77FC">
      <w:pPr>
        <w:pStyle w:val="Caption"/>
        <w:keepNext/>
        <w:spacing w:after="0"/>
        <w:ind w:left="284"/>
        <w:jc w:val="center"/>
        <w:rPr>
          <w:rFonts w:asciiTheme="majorHAnsi" w:hAnsiTheme="majorHAnsi"/>
          <w:b/>
          <w:i w:val="0"/>
          <w:color w:val="auto"/>
          <w:sz w:val="22"/>
          <w:szCs w:val="22"/>
        </w:rPr>
      </w:pPr>
      <w:r w:rsidRPr="008675CA">
        <w:rPr>
          <w:rFonts w:asciiTheme="majorHAnsi" w:hAnsiTheme="majorHAnsi"/>
          <w:b/>
          <w:i w:val="0"/>
          <w:color w:val="auto"/>
          <w:sz w:val="22"/>
          <w:szCs w:val="22"/>
        </w:rPr>
        <w:t xml:space="preserve">Table </w:t>
      </w:r>
      <w:r w:rsidR="00104302" w:rsidRPr="008675CA">
        <w:rPr>
          <w:rFonts w:asciiTheme="majorHAnsi" w:hAnsiTheme="majorHAnsi"/>
          <w:b/>
          <w:i w:val="0"/>
          <w:color w:val="auto"/>
          <w:sz w:val="22"/>
          <w:szCs w:val="22"/>
        </w:rPr>
        <w:t>1</w:t>
      </w:r>
      <w:r w:rsidR="00EC3652">
        <w:rPr>
          <w:rFonts w:asciiTheme="majorHAnsi" w:hAnsiTheme="majorHAnsi"/>
          <w:b/>
          <w:i w:val="0"/>
          <w:color w:val="auto"/>
          <w:sz w:val="22"/>
          <w:szCs w:val="22"/>
        </w:rPr>
        <w:t>6</w:t>
      </w:r>
      <w:r w:rsidRPr="008675CA">
        <w:rPr>
          <w:rFonts w:asciiTheme="majorHAnsi" w:hAnsiTheme="majorHAnsi"/>
          <w:b/>
          <w:i w:val="0"/>
          <w:color w:val="auto"/>
          <w:sz w:val="22"/>
          <w:szCs w:val="22"/>
        </w:rPr>
        <w:t xml:space="preserve">: Return on Equity for Lakroh MHP for FY </w:t>
      </w:r>
      <w:r w:rsidR="00936274" w:rsidRPr="008675CA">
        <w:rPr>
          <w:rFonts w:asciiTheme="majorHAnsi" w:hAnsiTheme="majorHAnsi"/>
          <w:b/>
          <w:i w:val="0"/>
          <w:color w:val="auto"/>
          <w:sz w:val="22"/>
          <w:szCs w:val="22"/>
        </w:rPr>
        <w:t>2020-21 (</w:t>
      </w:r>
      <w:r w:rsidRPr="008675CA">
        <w:rPr>
          <w:rFonts w:asciiTheme="majorHAnsi" w:hAnsiTheme="majorHAnsi"/>
          <w:b/>
          <w:i w:val="0"/>
          <w:color w:val="auto"/>
          <w:sz w:val="22"/>
          <w:szCs w:val="22"/>
        </w:rPr>
        <w:t>R</w:t>
      </w:r>
      <w:r w:rsidR="00936274" w:rsidRPr="008675CA">
        <w:rPr>
          <w:rFonts w:asciiTheme="majorHAnsi" w:hAnsiTheme="majorHAnsi"/>
          <w:b/>
          <w:i w:val="0"/>
          <w:color w:val="auto"/>
          <w:sz w:val="22"/>
          <w:szCs w:val="22"/>
        </w:rPr>
        <w:t>s in</w:t>
      </w:r>
      <w:r w:rsidRPr="008675CA">
        <w:rPr>
          <w:rFonts w:asciiTheme="majorHAnsi" w:hAnsiTheme="majorHAnsi"/>
          <w:b/>
          <w:i w:val="0"/>
          <w:color w:val="auto"/>
          <w:sz w:val="22"/>
          <w:szCs w:val="22"/>
        </w:rPr>
        <w:t xml:space="preserve"> crore)</w:t>
      </w:r>
    </w:p>
    <w:tbl>
      <w:tblPr>
        <w:tblW w:w="4079" w:type="pct"/>
        <w:tblInd w:w="733" w:type="dxa"/>
        <w:tblLook w:val="04A0" w:firstRow="1" w:lastRow="0" w:firstColumn="1" w:lastColumn="0" w:noHBand="0" w:noVBand="1"/>
      </w:tblPr>
      <w:tblGrid>
        <w:gridCol w:w="5920"/>
        <w:gridCol w:w="2102"/>
      </w:tblGrid>
      <w:tr w:rsidR="00DA77FC" w:rsidRPr="008675CA" w14:paraId="55E741C7" w14:textId="77777777" w:rsidTr="003D4573">
        <w:trPr>
          <w:trHeight w:val="80"/>
          <w:tblHeader/>
        </w:trPr>
        <w:tc>
          <w:tcPr>
            <w:tcW w:w="3690" w:type="pct"/>
            <w:tcBorders>
              <w:top w:val="single" w:sz="4" w:space="0" w:color="auto"/>
              <w:left w:val="single" w:sz="4" w:space="0" w:color="auto"/>
              <w:bottom w:val="single" w:sz="4" w:space="0" w:color="auto"/>
              <w:right w:val="single" w:sz="4" w:space="0" w:color="auto"/>
            </w:tcBorders>
            <w:shd w:val="clear" w:color="000000" w:fill="BFBFBF"/>
            <w:hideMark/>
          </w:tcPr>
          <w:p w14:paraId="46039441" w14:textId="77777777" w:rsidR="00DA77FC" w:rsidRPr="008675CA" w:rsidRDefault="00DA77FC" w:rsidP="003D4573">
            <w:pPr>
              <w:spacing w:after="0" w:line="240" w:lineRule="auto"/>
              <w:ind w:left="284"/>
              <w:rPr>
                <w:rFonts w:asciiTheme="majorHAnsi" w:eastAsia="Times New Roman" w:hAnsiTheme="majorHAnsi" w:cs="Calibri"/>
                <w:b/>
                <w:bCs/>
                <w:color w:val="000000"/>
              </w:rPr>
            </w:pPr>
            <w:r w:rsidRPr="008675CA">
              <w:rPr>
                <w:rFonts w:asciiTheme="majorHAnsi" w:eastAsia="Times New Roman" w:hAnsiTheme="majorHAnsi" w:cs="Calibri"/>
                <w:b/>
                <w:bCs/>
                <w:color w:val="000000"/>
              </w:rPr>
              <w:t>Particulars</w:t>
            </w:r>
          </w:p>
        </w:tc>
        <w:tc>
          <w:tcPr>
            <w:tcW w:w="1310" w:type="pct"/>
            <w:tcBorders>
              <w:top w:val="single" w:sz="4" w:space="0" w:color="auto"/>
              <w:left w:val="nil"/>
              <w:bottom w:val="single" w:sz="4" w:space="0" w:color="auto"/>
              <w:right w:val="single" w:sz="4" w:space="0" w:color="auto"/>
            </w:tcBorders>
            <w:shd w:val="clear" w:color="000000" w:fill="BFBFBF"/>
            <w:hideMark/>
          </w:tcPr>
          <w:p w14:paraId="125B5C0E" w14:textId="77777777" w:rsidR="00DA77FC" w:rsidRPr="008675CA" w:rsidRDefault="00DA77FC" w:rsidP="003D4573">
            <w:pPr>
              <w:spacing w:after="0" w:line="240" w:lineRule="auto"/>
              <w:ind w:left="284"/>
              <w:rPr>
                <w:rFonts w:asciiTheme="majorHAnsi" w:eastAsia="Times New Roman" w:hAnsiTheme="majorHAnsi" w:cs="Calibri"/>
                <w:b/>
                <w:bCs/>
                <w:color w:val="000000"/>
              </w:rPr>
            </w:pPr>
            <w:r w:rsidRPr="008675CA">
              <w:rPr>
                <w:rFonts w:asciiTheme="majorHAnsi" w:eastAsia="Times New Roman" w:hAnsiTheme="majorHAnsi" w:cs="Calibri"/>
                <w:b/>
                <w:bCs/>
                <w:color w:val="000000"/>
              </w:rPr>
              <w:t>Lakroh</w:t>
            </w:r>
          </w:p>
        </w:tc>
      </w:tr>
      <w:tr w:rsidR="00DA77FC" w:rsidRPr="008675CA" w14:paraId="1C3C5F5B" w14:textId="77777777" w:rsidTr="003D4573">
        <w:trPr>
          <w:trHeight w:val="77"/>
        </w:trPr>
        <w:tc>
          <w:tcPr>
            <w:tcW w:w="3690" w:type="pct"/>
            <w:tcBorders>
              <w:top w:val="nil"/>
              <w:left w:val="single" w:sz="4" w:space="0" w:color="auto"/>
              <w:bottom w:val="single" w:sz="4" w:space="0" w:color="auto"/>
              <w:right w:val="single" w:sz="4" w:space="0" w:color="auto"/>
            </w:tcBorders>
            <w:shd w:val="clear" w:color="auto" w:fill="auto"/>
            <w:noWrap/>
            <w:hideMark/>
          </w:tcPr>
          <w:p w14:paraId="23D34E14" w14:textId="77777777" w:rsidR="00DA77FC" w:rsidRPr="008675CA" w:rsidRDefault="00DA77FC"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Opening GFA</w:t>
            </w:r>
          </w:p>
        </w:tc>
        <w:tc>
          <w:tcPr>
            <w:tcW w:w="1310" w:type="pct"/>
            <w:tcBorders>
              <w:top w:val="nil"/>
              <w:left w:val="nil"/>
              <w:bottom w:val="single" w:sz="4" w:space="0" w:color="auto"/>
              <w:right w:val="single" w:sz="4" w:space="0" w:color="auto"/>
            </w:tcBorders>
            <w:shd w:val="clear" w:color="auto" w:fill="auto"/>
            <w:noWrap/>
            <w:hideMark/>
          </w:tcPr>
          <w:p w14:paraId="7C67267C" w14:textId="77777777" w:rsidR="00DA77FC" w:rsidRPr="008675CA" w:rsidRDefault="00397C21"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24.35</w:t>
            </w:r>
          </w:p>
        </w:tc>
      </w:tr>
      <w:tr w:rsidR="00DA77FC" w:rsidRPr="008675CA" w14:paraId="216B4B33" w14:textId="77777777" w:rsidTr="003D4573">
        <w:trPr>
          <w:trHeight w:val="217"/>
        </w:trPr>
        <w:tc>
          <w:tcPr>
            <w:tcW w:w="3690" w:type="pct"/>
            <w:tcBorders>
              <w:top w:val="nil"/>
              <w:left w:val="single" w:sz="4" w:space="0" w:color="auto"/>
              <w:bottom w:val="single" w:sz="4" w:space="0" w:color="auto"/>
              <w:right w:val="single" w:sz="4" w:space="0" w:color="auto"/>
            </w:tcBorders>
            <w:shd w:val="clear" w:color="auto" w:fill="auto"/>
            <w:noWrap/>
            <w:hideMark/>
          </w:tcPr>
          <w:p w14:paraId="5322E6B9" w14:textId="77777777" w:rsidR="00DA77FC" w:rsidRPr="008675CA" w:rsidRDefault="00DA77FC"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Addition during the year</w:t>
            </w:r>
          </w:p>
        </w:tc>
        <w:tc>
          <w:tcPr>
            <w:tcW w:w="1310" w:type="pct"/>
            <w:tcBorders>
              <w:top w:val="nil"/>
              <w:left w:val="nil"/>
              <w:bottom w:val="single" w:sz="4" w:space="0" w:color="auto"/>
              <w:right w:val="single" w:sz="4" w:space="0" w:color="auto"/>
            </w:tcBorders>
            <w:shd w:val="clear" w:color="auto" w:fill="auto"/>
            <w:noWrap/>
            <w:hideMark/>
          </w:tcPr>
          <w:p w14:paraId="7CFA17AD" w14:textId="77777777" w:rsidR="00DA77FC" w:rsidRPr="008675CA" w:rsidRDefault="00397C21"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1.36</w:t>
            </w:r>
          </w:p>
        </w:tc>
      </w:tr>
      <w:tr w:rsidR="00DA77FC" w:rsidRPr="008675CA" w14:paraId="45125E43" w14:textId="77777777" w:rsidTr="003D4573">
        <w:trPr>
          <w:trHeight w:val="285"/>
        </w:trPr>
        <w:tc>
          <w:tcPr>
            <w:tcW w:w="3690" w:type="pct"/>
            <w:tcBorders>
              <w:top w:val="single" w:sz="4" w:space="0" w:color="auto"/>
              <w:left w:val="single" w:sz="4" w:space="0" w:color="auto"/>
              <w:bottom w:val="single" w:sz="4" w:space="0" w:color="auto"/>
              <w:right w:val="single" w:sz="4" w:space="0" w:color="auto"/>
            </w:tcBorders>
            <w:shd w:val="clear" w:color="auto" w:fill="auto"/>
            <w:noWrap/>
          </w:tcPr>
          <w:p w14:paraId="2C30A70A" w14:textId="77777777" w:rsidR="00DA77FC" w:rsidRPr="008675CA" w:rsidRDefault="00DA77FC"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Closing GFA</w:t>
            </w:r>
          </w:p>
        </w:tc>
        <w:tc>
          <w:tcPr>
            <w:tcW w:w="1310" w:type="pct"/>
            <w:tcBorders>
              <w:top w:val="single" w:sz="4" w:space="0" w:color="auto"/>
              <w:left w:val="nil"/>
              <w:bottom w:val="single" w:sz="4" w:space="0" w:color="auto"/>
              <w:right w:val="single" w:sz="4" w:space="0" w:color="auto"/>
            </w:tcBorders>
            <w:shd w:val="clear" w:color="auto" w:fill="auto"/>
            <w:noWrap/>
          </w:tcPr>
          <w:p w14:paraId="6184F75C" w14:textId="77777777" w:rsidR="00DA77FC" w:rsidRPr="008675CA" w:rsidRDefault="00397C21"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25.72</w:t>
            </w:r>
          </w:p>
        </w:tc>
      </w:tr>
      <w:tr w:rsidR="00DA77FC" w:rsidRPr="008675CA" w14:paraId="5E666AFB" w14:textId="77777777" w:rsidTr="003D4573">
        <w:trPr>
          <w:trHeight w:val="184"/>
        </w:trPr>
        <w:tc>
          <w:tcPr>
            <w:tcW w:w="3690" w:type="pct"/>
            <w:tcBorders>
              <w:top w:val="nil"/>
              <w:left w:val="single" w:sz="4" w:space="0" w:color="auto"/>
              <w:bottom w:val="single" w:sz="4" w:space="0" w:color="auto"/>
              <w:right w:val="single" w:sz="4" w:space="0" w:color="auto"/>
            </w:tcBorders>
            <w:shd w:val="clear" w:color="auto" w:fill="auto"/>
            <w:noWrap/>
            <w:hideMark/>
          </w:tcPr>
          <w:p w14:paraId="6CB70202" w14:textId="77777777" w:rsidR="00DA77FC" w:rsidRPr="008675CA" w:rsidRDefault="00DA77FC"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Average GFA</w:t>
            </w:r>
          </w:p>
        </w:tc>
        <w:tc>
          <w:tcPr>
            <w:tcW w:w="1310" w:type="pct"/>
            <w:tcBorders>
              <w:top w:val="nil"/>
              <w:left w:val="nil"/>
              <w:bottom w:val="single" w:sz="4" w:space="0" w:color="auto"/>
              <w:right w:val="single" w:sz="4" w:space="0" w:color="auto"/>
            </w:tcBorders>
            <w:shd w:val="clear" w:color="auto" w:fill="auto"/>
            <w:noWrap/>
            <w:hideMark/>
          </w:tcPr>
          <w:p w14:paraId="43D5067B" w14:textId="77777777" w:rsidR="00DA77FC" w:rsidRPr="008675CA" w:rsidRDefault="00397C21"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25.03</w:t>
            </w:r>
          </w:p>
        </w:tc>
      </w:tr>
      <w:tr w:rsidR="00DA77FC" w:rsidRPr="008675CA" w14:paraId="374FFCFE" w14:textId="77777777" w:rsidTr="003D4573">
        <w:trPr>
          <w:trHeight w:val="169"/>
        </w:trPr>
        <w:tc>
          <w:tcPr>
            <w:tcW w:w="3690" w:type="pct"/>
            <w:tcBorders>
              <w:top w:val="single" w:sz="4" w:space="0" w:color="auto"/>
              <w:left w:val="single" w:sz="4" w:space="0" w:color="auto"/>
              <w:bottom w:val="single" w:sz="4" w:space="0" w:color="auto"/>
              <w:right w:val="single" w:sz="4" w:space="0" w:color="auto"/>
            </w:tcBorders>
            <w:shd w:val="clear" w:color="auto" w:fill="auto"/>
            <w:noWrap/>
          </w:tcPr>
          <w:p w14:paraId="1A231845" w14:textId="77777777" w:rsidR="00DA77FC" w:rsidRPr="008675CA" w:rsidRDefault="00DA77FC"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 xml:space="preserve">Less: Grant </w:t>
            </w:r>
          </w:p>
        </w:tc>
        <w:tc>
          <w:tcPr>
            <w:tcW w:w="1310" w:type="pct"/>
            <w:tcBorders>
              <w:top w:val="single" w:sz="4" w:space="0" w:color="auto"/>
              <w:left w:val="nil"/>
              <w:bottom w:val="single" w:sz="4" w:space="0" w:color="auto"/>
              <w:right w:val="single" w:sz="4" w:space="0" w:color="auto"/>
            </w:tcBorders>
            <w:shd w:val="clear" w:color="auto" w:fill="auto"/>
            <w:noWrap/>
          </w:tcPr>
          <w:p w14:paraId="4F66D6EC" w14:textId="77777777" w:rsidR="00DA77FC" w:rsidRPr="008675CA" w:rsidRDefault="00DA77FC"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11.75</w:t>
            </w:r>
          </w:p>
        </w:tc>
      </w:tr>
      <w:tr w:rsidR="00DA77FC" w:rsidRPr="008675CA" w14:paraId="7543E38B" w14:textId="77777777" w:rsidTr="003D4573">
        <w:trPr>
          <w:trHeight w:val="270"/>
        </w:trPr>
        <w:tc>
          <w:tcPr>
            <w:tcW w:w="3690" w:type="pct"/>
            <w:tcBorders>
              <w:top w:val="single" w:sz="4" w:space="0" w:color="auto"/>
              <w:left w:val="single" w:sz="4" w:space="0" w:color="auto"/>
              <w:bottom w:val="single" w:sz="4" w:space="0" w:color="auto"/>
              <w:right w:val="single" w:sz="4" w:space="0" w:color="auto"/>
            </w:tcBorders>
            <w:shd w:val="clear" w:color="auto" w:fill="auto"/>
            <w:noWrap/>
          </w:tcPr>
          <w:p w14:paraId="12A96D46" w14:textId="77777777" w:rsidR="00DA77FC" w:rsidRPr="008675CA" w:rsidRDefault="00DA77FC"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Net GFA</w:t>
            </w:r>
          </w:p>
        </w:tc>
        <w:tc>
          <w:tcPr>
            <w:tcW w:w="1310" w:type="pct"/>
            <w:tcBorders>
              <w:top w:val="single" w:sz="4" w:space="0" w:color="auto"/>
              <w:left w:val="nil"/>
              <w:bottom w:val="single" w:sz="4" w:space="0" w:color="auto"/>
              <w:right w:val="single" w:sz="4" w:space="0" w:color="auto"/>
            </w:tcBorders>
            <w:shd w:val="clear" w:color="auto" w:fill="auto"/>
            <w:noWrap/>
          </w:tcPr>
          <w:p w14:paraId="08D1D779" w14:textId="77777777" w:rsidR="00DA77FC" w:rsidRPr="008675CA" w:rsidRDefault="00397C21"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13.285</w:t>
            </w:r>
          </w:p>
        </w:tc>
      </w:tr>
      <w:tr w:rsidR="00DA77FC" w:rsidRPr="008675CA" w14:paraId="5C9482A2" w14:textId="77777777" w:rsidTr="003D4573">
        <w:trPr>
          <w:trHeight w:val="77"/>
        </w:trPr>
        <w:tc>
          <w:tcPr>
            <w:tcW w:w="3690" w:type="pct"/>
            <w:tcBorders>
              <w:top w:val="nil"/>
              <w:left w:val="single" w:sz="4" w:space="0" w:color="auto"/>
              <w:bottom w:val="single" w:sz="4" w:space="0" w:color="auto"/>
              <w:right w:val="single" w:sz="4" w:space="0" w:color="auto"/>
            </w:tcBorders>
            <w:shd w:val="clear" w:color="auto" w:fill="auto"/>
            <w:noWrap/>
            <w:hideMark/>
          </w:tcPr>
          <w:p w14:paraId="487D3A3D" w14:textId="77777777" w:rsidR="00DA77FC" w:rsidRPr="008675CA" w:rsidRDefault="00DA77FC"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Debt (70% GFA)</w:t>
            </w:r>
          </w:p>
        </w:tc>
        <w:tc>
          <w:tcPr>
            <w:tcW w:w="1310" w:type="pct"/>
            <w:tcBorders>
              <w:top w:val="nil"/>
              <w:left w:val="nil"/>
              <w:bottom w:val="single" w:sz="4" w:space="0" w:color="auto"/>
              <w:right w:val="single" w:sz="4" w:space="0" w:color="auto"/>
            </w:tcBorders>
            <w:shd w:val="clear" w:color="auto" w:fill="auto"/>
            <w:noWrap/>
            <w:hideMark/>
          </w:tcPr>
          <w:p w14:paraId="073021FC" w14:textId="77777777" w:rsidR="00DA77FC" w:rsidRPr="008675CA" w:rsidRDefault="00397C21"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9.30</w:t>
            </w:r>
          </w:p>
        </w:tc>
      </w:tr>
      <w:tr w:rsidR="00DA77FC" w:rsidRPr="008675CA" w14:paraId="0BCB4743" w14:textId="77777777" w:rsidTr="003D4573">
        <w:trPr>
          <w:trHeight w:val="77"/>
        </w:trPr>
        <w:tc>
          <w:tcPr>
            <w:tcW w:w="3690" w:type="pct"/>
            <w:tcBorders>
              <w:top w:val="nil"/>
              <w:left w:val="single" w:sz="4" w:space="0" w:color="auto"/>
              <w:bottom w:val="single" w:sz="4" w:space="0" w:color="auto"/>
              <w:right w:val="single" w:sz="4" w:space="0" w:color="auto"/>
            </w:tcBorders>
            <w:shd w:val="clear" w:color="auto" w:fill="auto"/>
            <w:noWrap/>
            <w:hideMark/>
          </w:tcPr>
          <w:p w14:paraId="486462A2" w14:textId="77777777" w:rsidR="00DA77FC" w:rsidRPr="008675CA" w:rsidRDefault="00DA77FC"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Equity (30% of GFA)</w:t>
            </w:r>
          </w:p>
        </w:tc>
        <w:tc>
          <w:tcPr>
            <w:tcW w:w="1310" w:type="pct"/>
            <w:tcBorders>
              <w:top w:val="nil"/>
              <w:left w:val="nil"/>
              <w:bottom w:val="single" w:sz="4" w:space="0" w:color="auto"/>
              <w:right w:val="single" w:sz="4" w:space="0" w:color="auto"/>
            </w:tcBorders>
            <w:shd w:val="clear" w:color="auto" w:fill="auto"/>
            <w:noWrap/>
            <w:hideMark/>
          </w:tcPr>
          <w:p w14:paraId="4E28BC43" w14:textId="77777777" w:rsidR="00DA77FC" w:rsidRPr="008675CA" w:rsidRDefault="00397C21"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3.98</w:t>
            </w:r>
          </w:p>
        </w:tc>
      </w:tr>
      <w:tr w:rsidR="00DA77FC" w:rsidRPr="008675CA" w14:paraId="24839AF4" w14:textId="77777777" w:rsidTr="003D4573">
        <w:trPr>
          <w:trHeight w:val="77"/>
        </w:trPr>
        <w:tc>
          <w:tcPr>
            <w:tcW w:w="3690" w:type="pct"/>
            <w:tcBorders>
              <w:top w:val="nil"/>
              <w:left w:val="single" w:sz="4" w:space="0" w:color="auto"/>
              <w:bottom w:val="single" w:sz="4" w:space="0" w:color="auto"/>
              <w:right w:val="single" w:sz="4" w:space="0" w:color="auto"/>
            </w:tcBorders>
            <w:shd w:val="clear" w:color="auto" w:fill="auto"/>
            <w:noWrap/>
            <w:hideMark/>
          </w:tcPr>
          <w:p w14:paraId="10797E8E" w14:textId="77777777" w:rsidR="00DA77FC" w:rsidRPr="008675CA" w:rsidRDefault="00DA77FC"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 xml:space="preserve">RoE (%) </w:t>
            </w:r>
          </w:p>
        </w:tc>
        <w:tc>
          <w:tcPr>
            <w:tcW w:w="1310" w:type="pct"/>
            <w:tcBorders>
              <w:top w:val="nil"/>
              <w:left w:val="nil"/>
              <w:bottom w:val="single" w:sz="4" w:space="0" w:color="auto"/>
              <w:right w:val="single" w:sz="4" w:space="0" w:color="auto"/>
            </w:tcBorders>
            <w:shd w:val="clear" w:color="auto" w:fill="auto"/>
            <w:noWrap/>
            <w:hideMark/>
          </w:tcPr>
          <w:p w14:paraId="1FF8BD51" w14:textId="77777777" w:rsidR="00DA77FC" w:rsidRPr="008675CA" w:rsidRDefault="00DA77FC" w:rsidP="003D4573">
            <w:pPr>
              <w:spacing w:after="0" w:line="240" w:lineRule="auto"/>
              <w:ind w:left="284"/>
              <w:rPr>
                <w:rFonts w:asciiTheme="majorHAnsi" w:eastAsia="Times New Roman" w:hAnsiTheme="majorHAnsi" w:cs="Calibri"/>
                <w:color w:val="000000"/>
              </w:rPr>
            </w:pPr>
            <w:r w:rsidRPr="008675CA">
              <w:rPr>
                <w:rFonts w:asciiTheme="majorHAnsi" w:eastAsia="Times New Roman" w:hAnsiTheme="majorHAnsi" w:cs="Calibri"/>
                <w:color w:val="000000"/>
              </w:rPr>
              <w:t>14%</w:t>
            </w:r>
          </w:p>
        </w:tc>
      </w:tr>
      <w:tr w:rsidR="00DA77FC" w:rsidRPr="008675CA" w14:paraId="2EAD4C50" w14:textId="77777777" w:rsidTr="003D4573">
        <w:trPr>
          <w:trHeight w:val="77"/>
        </w:trPr>
        <w:tc>
          <w:tcPr>
            <w:tcW w:w="3690" w:type="pct"/>
            <w:tcBorders>
              <w:top w:val="nil"/>
              <w:left w:val="single" w:sz="4" w:space="0" w:color="auto"/>
              <w:bottom w:val="single" w:sz="4" w:space="0" w:color="auto"/>
              <w:right w:val="single" w:sz="4" w:space="0" w:color="auto"/>
            </w:tcBorders>
            <w:shd w:val="clear" w:color="auto" w:fill="auto"/>
            <w:noWrap/>
            <w:hideMark/>
          </w:tcPr>
          <w:p w14:paraId="67DC43E7" w14:textId="77777777" w:rsidR="00DA77FC" w:rsidRPr="008675CA" w:rsidRDefault="00DA77FC" w:rsidP="003D4573">
            <w:pPr>
              <w:spacing w:after="0" w:line="240" w:lineRule="auto"/>
              <w:ind w:left="284"/>
              <w:rPr>
                <w:rFonts w:asciiTheme="majorHAnsi" w:eastAsia="Times New Roman" w:hAnsiTheme="majorHAnsi" w:cs="Calibri"/>
                <w:b/>
                <w:bCs/>
                <w:color w:val="000000"/>
              </w:rPr>
            </w:pPr>
            <w:r w:rsidRPr="008675CA">
              <w:rPr>
                <w:rFonts w:asciiTheme="majorHAnsi" w:eastAsia="Times New Roman" w:hAnsiTheme="majorHAnsi" w:cs="Calibri"/>
                <w:b/>
                <w:bCs/>
                <w:color w:val="000000"/>
              </w:rPr>
              <w:t xml:space="preserve">Return on Equity (in INR Cr.) </w:t>
            </w:r>
          </w:p>
        </w:tc>
        <w:tc>
          <w:tcPr>
            <w:tcW w:w="1310" w:type="pct"/>
            <w:tcBorders>
              <w:top w:val="nil"/>
              <w:left w:val="nil"/>
              <w:bottom w:val="single" w:sz="4" w:space="0" w:color="auto"/>
              <w:right w:val="single" w:sz="4" w:space="0" w:color="auto"/>
            </w:tcBorders>
            <w:shd w:val="clear" w:color="auto" w:fill="auto"/>
            <w:noWrap/>
            <w:hideMark/>
          </w:tcPr>
          <w:p w14:paraId="0825D6C7" w14:textId="77777777" w:rsidR="00DA77FC" w:rsidRPr="008675CA" w:rsidRDefault="00397C21" w:rsidP="003D4573">
            <w:pPr>
              <w:spacing w:after="0" w:line="240" w:lineRule="auto"/>
              <w:ind w:left="284"/>
              <w:rPr>
                <w:rFonts w:asciiTheme="majorHAnsi" w:eastAsia="Times New Roman" w:hAnsiTheme="majorHAnsi" w:cs="Calibri"/>
                <w:b/>
                <w:bCs/>
                <w:color w:val="000000"/>
              </w:rPr>
            </w:pPr>
            <w:r w:rsidRPr="008675CA">
              <w:rPr>
                <w:rFonts w:asciiTheme="majorHAnsi" w:eastAsia="Times New Roman" w:hAnsiTheme="majorHAnsi" w:cs="Calibri"/>
                <w:b/>
                <w:bCs/>
                <w:color w:val="000000"/>
              </w:rPr>
              <w:t>0.56</w:t>
            </w:r>
          </w:p>
        </w:tc>
      </w:tr>
    </w:tbl>
    <w:p w14:paraId="49555F7F" w14:textId="77777777" w:rsidR="00DA77FC" w:rsidRPr="002A3B3D" w:rsidRDefault="00DA77FC" w:rsidP="00DA77FC">
      <w:pPr>
        <w:spacing w:after="0"/>
        <w:ind w:left="284"/>
        <w:jc w:val="both"/>
        <w:rPr>
          <w:rFonts w:asciiTheme="majorHAnsi" w:hAnsiTheme="majorHAnsi"/>
          <w:sz w:val="16"/>
        </w:rPr>
      </w:pPr>
    </w:p>
    <w:p w14:paraId="6B3D5B15" w14:textId="77777777" w:rsidR="00DA77FC" w:rsidRPr="008675CA" w:rsidRDefault="00DA77FC" w:rsidP="00DA77FC">
      <w:pPr>
        <w:spacing w:after="0"/>
        <w:ind w:left="284"/>
        <w:jc w:val="both"/>
        <w:rPr>
          <w:rFonts w:asciiTheme="majorHAnsi" w:hAnsiTheme="majorHAnsi"/>
          <w:b/>
        </w:rPr>
      </w:pPr>
      <w:r w:rsidRPr="008675CA">
        <w:rPr>
          <w:rFonts w:asciiTheme="majorHAnsi" w:hAnsiTheme="majorHAnsi"/>
          <w:b/>
        </w:rPr>
        <w:t>MePGCL humbly prays before the Hon</w:t>
      </w:r>
      <w:r w:rsidR="007C46EE">
        <w:rPr>
          <w:rFonts w:asciiTheme="majorHAnsi" w:hAnsiTheme="majorHAnsi"/>
          <w:b/>
        </w:rPr>
        <w:t xml:space="preserve">’ble Commission to allow Rs. </w:t>
      </w:r>
      <w:r w:rsidR="00397C21" w:rsidRPr="008675CA">
        <w:rPr>
          <w:rFonts w:asciiTheme="majorHAnsi" w:hAnsiTheme="majorHAnsi"/>
          <w:b/>
        </w:rPr>
        <w:t>0.5</w:t>
      </w:r>
      <w:r w:rsidR="007C46EE">
        <w:rPr>
          <w:rFonts w:asciiTheme="majorHAnsi" w:hAnsiTheme="majorHAnsi"/>
          <w:b/>
        </w:rPr>
        <w:t>6</w:t>
      </w:r>
      <w:r w:rsidRPr="008675CA">
        <w:rPr>
          <w:rFonts w:asciiTheme="majorHAnsi" w:hAnsiTheme="majorHAnsi"/>
          <w:b/>
        </w:rPr>
        <w:t xml:space="preserve"> Cr. as ROE for true up of FY </w:t>
      </w:r>
      <w:r w:rsidR="00397C21" w:rsidRPr="008675CA">
        <w:rPr>
          <w:rFonts w:asciiTheme="majorHAnsi" w:hAnsiTheme="majorHAnsi"/>
          <w:b/>
        </w:rPr>
        <w:t>2020-21</w:t>
      </w:r>
      <w:r w:rsidRPr="008675CA">
        <w:rPr>
          <w:rFonts w:asciiTheme="majorHAnsi" w:hAnsiTheme="majorHAnsi"/>
          <w:b/>
        </w:rPr>
        <w:t xml:space="preserve"> for Lakroh MHP.</w:t>
      </w:r>
    </w:p>
    <w:p w14:paraId="2BDC2D91" w14:textId="77777777" w:rsidR="00DA77FC" w:rsidRPr="008675CA" w:rsidRDefault="00DA77FC" w:rsidP="00DA77FC">
      <w:pPr>
        <w:tabs>
          <w:tab w:val="left" w:pos="6208"/>
        </w:tabs>
        <w:spacing w:after="0"/>
        <w:jc w:val="both"/>
        <w:rPr>
          <w:rFonts w:asciiTheme="majorHAnsi" w:hAnsiTheme="majorHAnsi"/>
        </w:rPr>
      </w:pPr>
    </w:p>
    <w:p w14:paraId="38CCCDBF" w14:textId="77777777" w:rsidR="00DA77FC" w:rsidRPr="008675CA" w:rsidRDefault="00372DCD" w:rsidP="00DA77FC">
      <w:pPr>
        <w:tabs>
          <w:tab w:val="left" w:pos="6208"/>
        </w:tabs>
        <w:spacing w:after="0"/>
        <w:rPr>
          <w:rFonts w:asciiTheme="majorHAnsi" w:hAnsiTheme="majorHAnsi"/>
          <w:b/>
        </w:rPr>
      </w:pPr>
      <w:r w:rsidRPr="008675CA">
        <w:rPr>
          <w:rFonts w:asciiTheme="majorHAnsi" w:hAnsiTheme="majorHAnsi"/>
        </w:rPr>
        <w:t>2</w:t>
      </w:r>
      <w:r w:rsidR="00DA77FC" w:rsidRPr="008675CA">
        <w:rPr>
          <w:rFonts w:asciiTheme="majorHAnsi" w:hAnsiTheme="majorHAnsi"/>
          <w:b/>
        </w:rPr>
        <w:t>.4.4. Interest on Working Capital (IWC)</w:t>
      </w:r>
    </w:p>
    <w:p w14:paraId="23FDE976" w14:textId="77777777" w:rsidR="00DA77FC" w:rsidRPr="008675CA" w:rsidRDefault="00DA77FC" w:rsidP="001C5AAB">
      <w:pPr>
        <w:tabs>
          <w:tab w:val="left" w:pos="6208"/>
        </w:tabs>
        <w:spacing w:after="0"/>
        <w:ind w:left="426"/>
        <w:rPr>
          <w:rFonts w:asciiTheme="majorHAnsi" w:hAnsiTheme="majorHAnsi"/>
        </w:rPr>
      </w:pPr>
      <w:r w:rsidRPr="008675CA">
        <w:rPr>
          <w:rFonts w:asciiTheme="majorHAnsi" w:hAnsiTheme="majorHAnsi"/>
        </w:rPr>
        <w:t>The IWC is calculated as per norm provided in the regulations. The revised IWC which MePGCL requests the Hon’ble Commission to consider in the review petition is calculated below:</w:t>
      </w:r>
    </w:p>
    <w:p w14:paraId="5EF21BDF" w14:textId="0CF9CF87" w:rsidR="00DA77FC" w:rsidRPr="008675CA" w:rsidRDefault="00DA77FC" w:rsidP="00DA77FC">
      <w:pPr>
        <w:pStyle w:val="Caption"/>
        <w:keepNext/>
        <w:spacing w:after="0"/>
        <w:ind w:left="360"/>
        <w:jc w:val="center"/>
        <w:rPr>
          <w:rFonts w:asciiTheme="majorHAnsi" w:hAnsiTheme="majorHAnsi"/>
          <w:b/>
          <w:i w:val="0"/>
          <w:color w:val="auto"/>
          <w:sz w:val="22"/>
          <w:szCs w:val="22"/>
        </w:rPr>
      </w:pPr>
      <w:r w:rsidRPr="008675CA">
        <w:rPr>
          <w:rFonts w:asciiTheme="majorHAnsi" w:hAnsiTheme="majorHAnsi"/>
          <w:b/>
          <w:i w:val="0"/>
          <w:color w:val="auto"/>
          <w:sz w:val="22"/>
          <w:szCs w:val="22"/>
        </w:rPr>
        <w:t xml:space="preserve">Table </w:t>
      </w:r>
      <w:r w:rsidR="00104302" w:rsidRPr="008675CA">
        <w:rPr>
          <w:rFonts w:asciiTheme="majorHAnsi" w:hAnsiTheme="majorHAnsi"/>
          <w:b/>
          <w:i w:val="0"/>
          <w:color w:val="auto"/>
          <w:sz w:val="22"/>
          <w:szCs w:val="22"/>
        </w:rPr>
        <w:t>1</w:t>
      </w:r>
      <w:r w:rsidR="002A3B3D">
        <w:rPr>
          <w:rFonts w:asciiTheme="majorHAnsi" w:hAnsiTheme="majorHAnsi"/>
          <w:b/>
          <w:i w:val="0"/>
          <w:color w:val="auto"/>
          <w:sz w:val="22"/>
          <w:szCs w:val="22"/>
        </w:rPr>
        <w:t>7</w:t>
      </w:r>
      <w:r w:rsidR="007A771A" w:rsidRPr="008675CA">
        <w:rPr>
          <w:rFonts w:asciiTheme="majorHAnsi" w:hAnsiTheme="majorHAnsi"/>
          <w:b/>
          <w:i w:val="0"/>
          <w:color w:val="auto"/>
          <w:sz w:val="22"/>
          <w:szCs w:val="22"/>
        </w:rPr>
        <w:t>: IWC Claim of LAKROH MHP (</w:t>
      </w:r>
      <w:r w:rsidRPr="008675CA">
        <w:rPr>
          <w:rFonts w:asciiTheme="majorHAnsi" w:hAnsiTheme="majorHAnsi"/>
          <w:b/>
          <w:i w:val="0"/>
          <w:color w:val="auto"/>
          <w:sz w:val="22"/>
          <w:szCs w:val="22"/>
        </w:rPr>
        <w:t>R</w:t>
      </w:r>
      <w:r w:rsidR="007A771A" w:rsidRPr="008675CA">
        <w:rPr>
          <w:rFonts w:asciiTheme="majorHAnsi" w:hAnsiTheme="majorHAnsi"/>
          <w:b/>
          <w:i w:val="0"/>
          <w:color w:val="auto"/>
          <w:sz w:val="22"/>
          <w:szCs w:val="22"/>
        </w:rPr>
        <w:t>s in</w:t>
      </w:r>
      <w:r w:rsidRPr="008675CA">
        <w:rPr>
          <w:rFonts w:asciiTheme="majorHAnsi" w:hAnsiTheme="majorHAnsi"/>
          <w:b/>
          <w:i w:val="0"/>
          <w:color w:val="auto"/>
          <w:sz w:val="22"/>
          <w:szCs w:val="22"/>
        </w:rPr>
        <w:t xml:space="preserve"> Cr.)</w:t>
      </w:r>
    </w:p>
    <w:tbl>
      <w:tblPr>
        <w:tblW w:w="4429"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6509"/>
        <w:gridCol w:w="1494"/>
      </w:tblGrid>
      <w:tr w:rsidR="00DA77FC" w:rsidRPr="008675CA" w14:paraId="740738A5" w14:textId="77777777" w:rsidTr="003D4573">
        <w:trPr>
          <w:trHeight w:val="269"/>
          <w:tblHeader/>
        </w:trPr>
        <w:tc>
          <w:tcPr>
            <w:tcW w:w="480" w:type="pct"/>
            <w:shd w:val="clear" w:color="auto" w:fill="BFBFBF" w:themeFill="background1" w:themeFillShade="BF"/>
            <w:noWrap/>
            <w:vAlign w:val="center"/>
            <w:hideMark/>
          </w:tcPr>
          <w:p w14:paraId="09242935" w14:textId="77777777" w:rsidR="00DA77FC" w:rsidRPr="008675CA" w:rsidRDefault="00DA77FC" w:rsidP="003D4573">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Sl. No</w:t>
            </w:r>
          </w:p>
        </w:tc>
        <w:tc>
          <w:tcPr>
            <w:tcW w:w="3676" w:type="pct"/>
            <w:shd w:val="clear" w:color="auto" w:fill="BFBFBF" w:themeFill="background1" w:themeFillShade="BF"/>
            <w:noWrap/>
            <w:vAlign w:val="bottom"/>
            <w:hideMark/>
          </w:tcPr>
          <w:p w14:paraId="4B4D9F02" w14:textId="77777777" w:rsidR="00DA77FC" w:rsidRPr="008675CA" w:rsidRDefault="00DA77FC" w:rsidP="003D4573">
            <w:pPr>
              <w:spacing w:after="0" w:line="240" w:lineRule="auto"/>
              <w:jc w:val="both"/>
              <w:rPr>
                <w:rFonts w:asciiTheme="majorHAnsi" w:eastAsia="Times New Roman" w:hAnsiTheme="majorHAnsi" w:cs="Calibri"/>
                <w:b/>
              </w:rPr>
            </w:pPr>
            <w:r w:rsidRPr="008675CA">
              <w:rPr>
                <w:rFonts w:asciiTheme="majorHAnsi" w:eastAsia="Times New Roman" w:hAnsiTheme="majorHAnsi" w:cs="Calibri"/>
                <w:b/>
              </w:rPr>
              <w:t>Particulars</w:t>
            </w:r>
          </w:p>
        </w:tc>
        <w:tc>
          <w:tcPr>
            <w:tcW w:w="844" w:type="pct"/>
            <w:shd w:val="clear" w:color="auto" w:fill="BFBFBF" w:themeFill="background1" w:themeFillShade="BF"/>
            <w:noWrap/>
            <w:vAlign w:val="center"/>
            <w:hideMark/>
          </w:tcPr>
          <w:p w14:paraId="7BD9F7E0" w14:textId="77777777" w:rsidR="00DA77FC" w:rsidRPr="008675CA" w:rsidRDefault="00DA77FC" w:rsidP="00BF72C9">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 xml:space="preserve">FY </w:t>
            </w:r>
            <w:r w:rsidR="00BF72C9" w:rsidRPr="008675CA">
              <w:rPr>
                <w:rFonts w:asciiTheme="majorHAnsi" w:eastAsia="Times New Roman" w:hAnsiTheme="majorHAnsi" w:cs="Calibri"/>
                <w:b/>
              </w:rPr>
              <w:t>2020-21</w:t>
            </w:r>
          </w:p>
        </w:tc>
      </w:tr>
      <w:tr w:rsidR="00DA77FC" w:rsidRPr="008675CA" w14:paraId="150C5178" w14:textId="77777777" w:rsidTr="003D4573">
        <w:trPr>
          <w:trHeight w:val="269"/>
        </w:trPr>
        <w:tc>
          <w:tcPr>
            <w:tcW w:w="480" w:type="pct"/>
            <w:shd w:val="clear" w:color="auto" w:fill="auto"/>
            <w:noWrap/>
            <w:vAlign w:val="center"/>
            <w:hideMark/>
          </w:tcPr>
          <w:p w14:paraId="5414FDEA" w14:textId="77777777" w:rsidR="00DA77FC" w:rsidRPr="008675CA" w:rsidRDefault="00DA77FC"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1</w:t>
            </w:r>
          </w:p>
        </w:tc>
        <w:tc>
          <w:tcPr>
            <w:tcW w:w="3676" w:type="pct"/>
            <w:shd w:val="clear" w:color="auto" w:fill="auto"/>
            <w:noWrap/>
            <w:vAlign w:val="bottom"/>
            <w:hideMark/>
          </w:tcPr>
          <w:p w14:paraId="445DCA1B" w14:textId="77777777" w:rsidR="00DA77FC" w:rsidRPr="008675CA" w:rsidRDefault="00DA77FC" w:rsidP="00BF72C9">
            <w:pPr>
              <w:spacing w:after="0" w:line="240" w:lineRule="auto"/>
              <w:jc w:val="both"/>
              <w:rPr>
                <w:rFonts w:asciiTheme="majorHAnsi" w:eastAsia="Times New Roman" w:hAnsiTheme="majorHAnsi" w:cs="Calibri"/>
              </w:rPr>
            </w:pPr>
            <w:r w:rsidRPr="008675CA">
              <w:rPr>
                <w:rFonts w:asciiTheme="majorHAnsi" w:eastAsia="Times New Roman" w:hAnsiTheme="majorHAnsi" w:cs="Calibri"/>
              </w:rPr>
              <w:t>O&amp;M Expenses for one (1) month (</w:t>
            </w:r>
            <w:r w:rsidR="00BF72C9" w:rsidRPr="008675CA">
              <w:rPr>
                <w:rFonts w:asciiTheme="majorHAnsi" w:eastAsia="Times New Roman" w:hAnsiTheme="majorHAnsi" w:cs="Calibri"/>
              </w:rPr>
              <w:t>Rs.0.54</w:t>
            </w:r>
            <w:r w:rsidRPr="008675CA">
              <w:rPr>
                <w:rFonts w:asciiTheme="majorHAnsi" w:eastAsia="Times New Roman" w:hAnsiTheme="majorHAnsi" w:cs="Calibri"/>
              </w:rPr>
              <w:t xml:space="preserve"> Cr./12) (a)</w:t>
            </w:r>
          </w:p>
        </w:tc>
        <w:tc>
          <w:tcPr>
            <w:tcW w:w="844" w:type="pct"/>
            <w:shd w:val="clear" w:color="auto" w:fill="auto"/>
            <w:noWrap/>
            <w:vAlign w:val="center"/>
            <w:hideMark/>
          </w:tcPr>
          <w:p w14:paraId="5D1F4E51" w14:textId="77777777" w:rsidR="00DA77FC" w:rsidRPr="008675CA" w:rsidRDefault="00BF72C9"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0.045</w:t>
            </w:r>
          </w:p>
        </w:tc>
      </w:tr>
      <w:tr w:rsidR="00DA77FC" w:rsidRPr="008675CA" w14:paraId="1050745C" w14:textId="77777777" w:rsidTr="003D4573">
        <w:trPr>
          <w:trHeight w:val="269"/>
        </w:trPr>
        <w:tc>
          <w:tcPr>
            <w:tcW w:w="480" w:type="pct"/>
            <w:shd w:val="clear" w:color="auto" w:fill="auto"/>
            <w:noWrap/>
            <w:vAlign w:val="center"/>
            <w:hideMark/>
          </w:tcPr>
          <w:p w14:paraId="149E2C7B" w14:textId="77777777" w:rsidR="00DA77FC" w:rsidRPr="008675CA" w:rsidRDefault="00DA77FC"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2</w:t>
            </w:r>
          </w:p>
        </w:tc>
        <w:tc>
          <w:tcPr>
            <w:tcW w:w="3676" w:type="pct"/>
            <w:shd w:val="clear" w:color="auto" w:fill="auto"/>
            <w:noWrap/>
            <w:vAlign w:val="bottom"/>
            <w:hideMark/>
          </w:tcPr>
          <w:p w14:paraId="131D33E4" w14:textId="77777777" w:rsidR="00DA77FC" w:rsidRPr="008675CA" w:rsidRDefault="00DA77FC" w:rsidP="003D4573">
            <w:pPr>
              <w:spacing w:after="0" w:line="240" w:lineRule="auto"/>
              <w:jc w:val="both"/>
              <w:rPr>
                <w:rFonts w:asciiTheme="majorHAnsi" w:eastAsia="Times New Roman" w:hAnsiTheme="majorHAnsi" w:cs="Calibri"/>
              </w:rPr>
            </w:pPr>
            <w:r w:rsidRPr="008675CA">
              <w:rPr>
                <w:rFonts w:asciiTheme="majorHAnsi" w:eastAsia="Times New Roman" w:hAnsiTheme="majorHAnsi" w:cs="Calibri"/>
              </w:rPr>
              <w:t>Maintenance Spares at 15% of O&amp;M expenses escalated at 6% (b)</w:t>
            </w:r>
          </w:p>
        </w:tc>
        <w:tc>
          <w:tcPr>
            <w:tcW w:w="844" w:type="pct"/>
            <w:shd w:val="clear" w:color="auto" w:fill="auto"/>
            <w:noWrap/>
            <w:vAlign w:val="center"/>
            <w:hideMark/>
          </w:tcPr>
          <w:p w14:paraId="625C770F" w14:textId="77777777" w:rsidR="00DA77FC" w:rsidRPr="008675CA" w:rsidRDefault="00BF72C9"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0.085</w:t>
            </w:r>
          </w:p>
        </w:tc>
      </w:tr>
      <w:tr w:rsidR="00DA77FC" w:rsidRPr="008675CA" w14:paraId="76FDD6E9" w14:textId="77777777" w:rsidTr="003D4573">
        <w:trPr>
          <w:trHeight w:val="269"/>
        </w:trPr>
        <w:tc>
          <w:tcPr>
            <w:tcW w:w="480" w:type="pct"/>
            <w:shd w:val="clear" w:color="auto" w:fill="auto"/>
            <w:noWrap/>
            <w:vAlign w:val="center"/>
            <w:hideMark/>
          </w:tcPr>
          <w:p w14:paraId="798CB533" w14:textId="77777777" w:rsidR="00DA77FC" w:rsidRPr="008675CA" w:rsidRDefault="00DA77FC"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3</w:t>
            </w:r>
          </w:p>
        </w:tc>
        <w:tc>
          <w:tcPr>
            <w:tcW w:w="3676" w:type="pct"/>
            <w:shd w:val="clear" w:color="auto" w:fill="auto"/>
            <w:noWrap/>
            <w:vAlign w:val="bottom"/>
            <w:hideMark/>
          </w:tcPr>
          <w:p w14:paraId="2610662E" w14:textId="77777777" w:rsidR="00DA77FC" w:rsidRPr="008675CA" w:rsidRDefault="00DA77FC" w:rsidP="003D4573">
            <w:pPr>
              <w:spacing w:after="0" w:line="240" w:lineRule="auto"/>
              <w:jc w:val="both"/>
              <w:rPr>
                <w:rFonts w:asciiTheme="majorHAnsi" w:eastAsia="Times New Roman" w:hAnsiTheme="majorHAnsi" w:cs="Calibri"/>
              </w:rPr>
            </w:pPr>
            <w:r w:rsidRPr="008675CA">
              <w:rPr>
                <w:rFonts w:asciiTheme="majorHAnsi" w:eastAsia="Times New Roman" w:hAnsiTheme="majorHAnsi" w:cs="Calibri"/>
              </w:rPr>
              <w:t>Receivables equivalent to two (2) months Net AFC (c)</w:t>
            </w:r>
          </w:p>
        </w:tc>
        <w:tc>
          <w:tcPr>
            <w:tcW w:w="844" w:type="pct"/>
            <w:shd w:val="clear" w:color="auto" w:fill="auto"/>
            <w:noWrap/>
            <w:vAlign w:val="center"/>
            <w:hideMark/>
          </w:tcPr>
          <w:p w14:paraId="5E2CC7E7" w14:textId="77777777" w:rsidR="00DA77FC" w:rsidRPr="008675CA" w:rsidRDefault="00BF72C9"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0.495</w:t>
            </w:r>
          </w:p>
        </w:tc>
      </w:tr>
      <w:tr w:rsidR="00DA77FC" w:rsidRPr="008675CA" w14:paraId="2D652C3C" w14:textId="77777777" w:rsidTr="003D4573">
        <w:trPr>
          <w:trHeight w:val="269"/>
        </w:trPr>
        <w:tc>
          <w:tcPr>
            <w:tcW w:w="480" w:type="pct"/>
            <w:shd w:val="clear" w:color="auto" w:fill="auto"/>
            <w:noWrap/>
            <w:vAlign w:val="center"/>
            <w:hideMark/>
          </w:tcPr>
          <w:p w14:paraId="032A9B5D" w14:textId="77777777" w:rsidR="00DA77FC" w:rsidRPr="008675CA" w:rsidRDefault="00DA77FC"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4</w:t>
            </w:r>
          </w:p>
        </w:tc>
        <w:tc>
          <w:tcPr>
            <w:tcW w:w="3676" w:type="pct"/>
            <w:shd w:val="clear" w:color="auto" w:fill="auto"/>
            <w:noWrap/>
            <w:vAlign w:val="bottom"/>
            <w:hideMark/>
          </w:tcPr>
          <w:p w14:paraId="1496F5DC" w14:textId="77777777" w:rsidR="00DA77FC" w:rsidRPr="008675CA" w:rsidRDefault="00DA77FC" w:rsidP="003D4573">
            <w:pPr>
              <w:spacing w:after="0" w:line="240" w:lineRule="auto"/>
              <w:jc w:val="both"/>
              <w:rPr>
                <w:rFonts w:asciiTheme="majorHAnsi" w:eastAsia="Times New Roman" w:hAnsiTheme="majorHAnsi" w:cs="Calibri"/>
              </w:rPr>
            </w:pPr>
            <w:r w:rsidRPr="008675CA">
              <w:rPr>
                <w:rFonts w:asciiTheme="majorHAnsi" w:eastAsia="Times New Roman" w:hAnsiTheme="majorHAnsi" w:cs="Calibri"/>
              </w:rPr>
              <w:t>Working Capital requirement (d=a+b+c)</w:t>
            </w:r>
          </w:p>
        </w:tc>
        <w:tc>
          <w:tcPr>
            <w:tcW w:w="844" w:type="pct"/>
            <w:shd w:val="clear" w:color="auto" w:fill="auto"/>
            <w:noWrap/>
            <w:vAlign w:val="center"/>
            <w:hideMark/>
          </w:tcPr>
          <w:p w14:paraId="7E62BFCE" w14:textId="77777777" w:rsidR="00DA77FC" w:rsidRPr="008675CA" w:rsidRDefault="00DA77FC" w:rsidP="00BF72C9">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w:t>
            </w:r>
            <w:r w:rsidR="00BF72C9" w:rsidRPr="008675CA">
              <w:rPr>
                <w:rFonts w:asciiTheme="majorHAnsi" w:eastAsia="Times New Roman" w:hAnsiTheme="majorHAnsi" w:cs="Calibri"/>
              </w:rPr>
              <w:t>625</w:t>
            </w:r>
          </w:p>
        </w:tc>
      </w:tr>
      <w:tr w:rsidR="00DA77FC" w:rsidRPr="008675CA" w14:paraId="1AFC6E7D" w14:textId="77777777" w:rsidTr="003D4573">
        <w:trPr>
          <w:trHeight w:val="269"/>
        </w:trPr>
        <w:tc>
          <w:tcPr>
            <w:tcW w:w="480" w:type="pct"/>
            <w:shd w:val="clear" w:color="auto" w:fill="auto"/>
            <w:noWrap/>
            <w:vAlign w:val="center"/>
            <w:hideMark/>
          </w:tcPr>
          <w:p w14:paraId="1D5ED0F1" w14:textId="77777777" w:rsidR="00DA77FC" w:rsidRPr="008675CA" w:rsidRDefault="00DA77FC" w:rsidP="003D4573">
            <w:pPr>
              <w:spacing w:after="0" w:line="240" w:lineRule="auto"/>
              <w:jc w:val="center"/>
              <w:rPr>
                <w:rFonts w:asciiTheme="majorHAnsi" w:eastAsia="Times New Roman" w:hAnsiTheme="majorHAnsi" w:cs="Calibri"/>
                <w:highlight w:val="yellow"/>
              </w:rPr>
            </w:pPr>
            <w:r w:rsidRPr="008675CA">
              <w:rPr>
                <w:rFonts w:asciiTheme="majorHAnsi" w:eastAsia="Times New Roman" w:hAnsiTheme="majorHAnsi" w:cs="Calibri"/>
                <w:highlight w:val="yellow"/>
              </w:rPr>
              <w:t>5</w:t>
            </w:r>
          </w:p>
        </w:tc>
        <w:tc>
          <w:tcPr>
            <w:tcW w:w="3676" w:type="pct"/>
            <w:shd w:val="clear" w:color="auto" w:fill="auto"/>
            <w:noWrap/>
            <w:vAlign w:val="bottom"/>
            <w:hideMark/>
          </w:tcPr>
          <w:p w14:paraId="59826A8B" w14:textId="2814FF14" w:rsidR="00DA77FC" w:rsidRPr="008675CA" w:rsidRDefault="00DA77FC" w:rsidP="00D72519">
            <w:pPr>
              <w:spacing w:after="0" w:line="240" w:lineRule="auto"/>
              <w:jc w:val="both"/>
              <w:rPr>
                <w:rFonts w:asciiTheme="majorHAnsi" w:eastAsia="Times New Roman" w:hAnsiTheme="majorHAnsi" w:cs="Calibri"/>
                <w:highlight w:val="yellow"/>
              </w:rPr>
            </w:pPr>
            <w:r w:rsidRPr="008675CA">
              <w:rPr>
                <w:rFonts w:asciiTheme="majorHAnsi" w:eastAsia="Times New Roman" w:hAnsiTheme="majorHAnsi" w:cs="Calibri"/>
              </w:rPr>
              <w:t xml:space="preserve">Interest at </w:t>
            </w:r>
            <w:r w:rsidR="00D72519">
              <w:rPr>
                <w:rFonts w:asciiTheme="majorHAnsi" w:eastAsia="Times New Roman" w:hAnsiTheme="majorHAnsi" w:cs="Calibri"/>
              </w:rPr>
              <w:t>12.90</w:t>
            </w:r>
            <w:r w:rsidRPr="008675CA">
              <w:rPr>
                <w:rFonts w:asciiTheme="majorHAnsi" w:eastAsia="Times New Roman" w:hAnsiTheme="majorHAnsi" w:cs="Calibri"/>
              </w:rPr>
              <w:t xml:space="preserve">% </w:t>
            </w:r>
            <w:r w:rsidR="00BF72C9" w:rsidRPr="008675CA">
              <w:rPr>
                <w:rFonts w:asciiTheme="majorHAnsi" w:eastAsia="Times New Roman" w:hAnsiTheme="majorHAnsi" w:cs="Calibri"/>
                <w:highlight w:val="yellow"/>
              </w:rPr>
              <w:t>(e=d*12</w:t>
            </w:r>
            <w:r w:rsidRPr="008675CA">
              <w:rPr>
                <w:rFonts w:asciiTheme="majorHAnsi" w:eastAsia="Times New Roman" w:hAnsiTheme="majorHAnsi" w:cs="Calibri"/>
                <w:highlight w:val="yellow"/>
              </w:rPr>
              <w:t>.</w:t>
            </w:r>
            <w:r w:rsidR="00D72519">
              <w:rPr>
                <w:rFonts w:asciiTheme="majorHAnsi" w:eastAsia="Times New Roman" w:hAnsiTheme="majorHAnsi" w:cs="Calibri"/>
                <w:highlight w:val="yellow"/>
              </w:rPr>
              <w:t>90</w:t>
            </w:r>
            <w:r w:rsidRPr="008675CA">
              <w:rPr>
                <w:rFonts w:asciiTheme="majorHAnsi" w:eastAsia="Times New Roman" w:hAnsiTheme="majorHAnsi" w:cs="Calibri"/>
                <w:highlight w:val="yellow"/>
              </w:rPr>
              <w:t>%)</w:t>
            </w:r>
          </w:p>
        </w:tc>
        <w:tc>
          <w:tcPr>
            <w:tcW w:w="844" w:type="pct"/>
            <w:shd w:val="clear" w:color="auto" w:fill="auto"/>
            <w:noWrap/>
            <w:vAlign w:val="center"/>
            <w:hideMark/>
          </w:tcPr>
          <w:p w14:paraId="7B3E2ACA" w14:textId="77777777" w:rsidR="00DA77FC" w:rsidRPr="008675CA" w:rsidRDefault="00DA77FC" w:rsidP="003D4573">
            <w:pPr>
              <w:spacing w:after="0" w:line="240" w:lineRule="auto"/>
              <w:jc w:val="center"/>
              <w:rPr>
                <w:rFonts w:asciiTheme="majorHAnsi" w:eastAsia="Times New Roman" w:hAnsiTheme="majorHAnsi" w:cs="Calibri"/>
                <w:b/>
                <w:highlight w:val="yellow"/>
              </w:rPr>
            </w:pPr>
            <w:r w:rsidRPr="008675CA">
              <w:rPr>
                <w:rFonts w:asciiTheme="majorHAnsi" w:eastAsia="Times New Roman" w:hAnsiTheme="majorHAnsi" w:cs="Calibri"/>
                <w:b/>
                <w:highlight w:val="yellow"/>
              </w:rPr>
              <w:t>0.07</w:t>
            </w:r>
            <w:r w:rsidR="00BF72C9" w:rsidRPr="008675CA">
              <w:rPr>
                <w:rFonts w:asciiTheme="majorHAnsi" w:eastAsia="Times New Roman" w:hAnsiTheme="majorHAnsi" w:cs="Calibri"/>
                <w:b/>
                <w:highlight w:val="yellow"/>
              </w:rPr>
              <w:t>9</w:t>
            </w:r>
          </w:p>
        </w:tc>
      </w:tr>
    </w:tbl>
    <w:p w14:paraId="6127627D" w14:textId="77777777" w:rsidR="00DA77FC" w:rsidRPr="008675CA" w:rsidRDefault="00DA77FC" w:rsidP="006517AE">
      <w:pPr>
        <w:tabs>
          <w:tab w:val="left" w:pos="6208"/>
        </w:tabs>
        <w:spacing w:after="0"/>
        <w:rPr>
          <w:rFonts w:asciiTheme="majorHAnsi" w:hAnsiTheme="majorHAnsi"/>
          <w:highlight w:val="yellow"/>
        </w:rPr>
      </w:pPr>
    </w:p>
    <w:p w14:paraId="3EFA2E47" w14:textId="69F14B02" w:rsidR="00DA77FC" w:rsidRPr="008675CA" w:rsidRDefault="00DA77FC" w:rsidP="00DA77FC">
      <w:pPr>
        <w:pStyle w:val="Caption"/>
        <w:keepNext/>
        <w:spacing w:after="0"/>
        <w:ind w:left="360"/>
        <w:jc w:val="center"/>
        <w:rPr>
          <w:rFonts w:asciiTheme="majorHAnsi" w:hAnsiTheme="majorHAnsi"/>
          <w:b/>
          <w:i w:val="0"/>
          <w:color w:val="auto"/>
          <w:sz w:val="22"/>
          <w:szCs w:val="22"/>
        </w:rPr>
      </w:pPr>
      <w:r w:rsidRPr="008675CA">
        <w:rPr>
          <w:rFonts w:asciiTheme="majorHAnsi" w:hAnsiTheme="majorHAnsi"/>
          <w:b/>
          <w:i w:val="0"/>
          <w:color w:val="auto"/>
          <w:sz w:val="22"/>
          <w:szCs w:val="22"/>
        </w:rPr>
        <w:t xml:space="preserve">Table </w:t>
      </w:r>
      <w:r w:rsidR="007C46EE">
        <w:rPr>
          <w:rFonts w:asciiTheme="majorHAnsi" w:hAnsiTheme="majorHAnsi"/>
          <w:b/>
          <w:i w:val="0"/>
          <w:color w:val="auto"/>
          <w:sz w:val="22"/>
          <w:szCs w:val="22"/>
        </w:rPr>
        <w:t>1</w:t>
      </w:r>
      <w:r w:rsidR="002A3B3D">
        <w:rPr>
          <w:rFonts w:asciiTheme="majorHAnsi" w:hAnsiTheme="majorHAnsi"/>
          <w:b/>
          <w:i w:val="0"/>
          <w:color w:val="auto"/>
          <w:sz w:val="22"/>
          <w:szCs w:val="22"/>
        </w:rPr>
        <w:t>8</w:t>
      </w:r>
      <w:r w:rsidRPr="008675CA">
        <w:rPr>
          <w:rFonts w:asciiTheme="majorHAnsi" w:hAnsiTheme="majorHAnsi"/>
          <w:b/>
          <w:i w:val="0"/>
          <w:color w:val="auto"/>
          <w:sz w:val="22"/>
          <w:szCs w:val="22"/>
        </w:rPr>
        <w:t xml:space="preserve">: Additional Gap of IWC Claim for </w:t>
      </w:r>
      <w:r w:rsidR="007A771A" w:rsidRPr="008675CA">
        <w:rPr>
          <w:rFonts w:asciiTheme="majorHAnsi" w:hAnsiTheme="majorHAnsi"/>
          <w:b/>
          <w:i w:val="0"/>
          <w:color w:val="auto"/>
          <w:sz w:val="22"/>
          <w:szCs w:val="22"/>
        </w:rPr>
        <w:t>LAKROH MHP (</w:t>
      </w:r>
      <w:r w:rsidRPr="008675CA">
        <w:rPr>
          <w:rFonts w:asciiTheme="majorHAnsi" w:hAnsiTheme="majorHAnsi"/>
          <w:b/>
          <w:i w:val="0"/>
          <w:color w:val="auto"/>
          <w:sz w:val="22"/>
          <w:szCs w:val="22"/>
        </w:rPr>
        <w:t>R</w:t>
      </w:r>
      <w:r w:rsidR="007A771A" w:rsidRPr="008675CA">
        <w:rPr>
          <w:rFonts w:asciiTheme="majorHAnsi" w:hAnsiTheme="majorHAnsi"/>
          <w:b/>
          <w:i w:val="0"/>
          <w:color w:val="auto"/>
          <w:sz w:val="22"/>
          <w:szCs w:val="22"/>
        </w:rPr>
        <w:t>s in</w:t>
      </w:r>
      <w:r w:rsidRPr="008675CA">
        <w:rPr>
          <w:rFonts w:asciiTheme="majorHAnsi" w:hAnsiTheme="majorHAnsi"/>
          <w:b/>
          <w:i w:val="0"/>
          <w:color w:val="auto"/>
          <w:sz w:val="22"/>
          <w:szCs w:val="22"/>
        </w:rPr>
        <w:t xml:space="preserve"> Cr.)</w:t>
      </w:r>
    </w:p>
    <w:tbl>
      <w:tblPr>
        <w:tblW w:w="4290"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6055"/>
        <w:gridCol w:w="1494"/>
      </w:tblGrid>
      <w:tr w:rsidR="00DA77FC" w:rsidRPr="008675CA" w14:paraId="656CB226" w14:textId="77777777" w:rsidTr="003D4573">
        <w:trPr>
          <w:trHeight w:val="262"/>
          <w:tblHeader/>
        </w:trPr>
        <w:tc>
          <w:tcPr>
            <w:tcW w:w="469" w:type="pct"/>
            <w:shd w:val="clear" w:color="auto" w:fill="BFBFBF" w:themeFill="background1" w:themeFillShade="BF"/>
            <w:noWrap/>
            <w:vAlign w:val="center"/>
            <w:hideMark/>
          </w:tcPr>
          <w:p w14:paraId="1ECE1D9B" w14:textId="77777777" w:rsidR="00DA77FC" w:rsidRPr="008675CA" w:rsidRDefault="00DA77FC" w:rsidP="003D4573">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Sl. No</w:t>
            </w:r>
          </w:p>
        </w:tc>
        <w:tc>
          <w:tcPr>
            <w:tcW w:w="3737" w:type="pct"/>
            <w:shd w:val="clear" w:color="auto" w:fill="BFBFBF" w:themeFill="background1" w:themeFillShade="BF"/>
            <w:noWrap/>
            <w:vAlign w:val="bottom"/>
            <w:hideMark/>
          </w:tcPr>
          <w:p w14:paraId="6452858B" w14:textId="77777777" w:rsidR="00DA77FC" w:rsidRPr="008675CA" w:rsidRDefault="00DA77FC" w:rsidP="003D4573">
            <w:pPr>
              <w:spacing w:after="0" w:line="240" w:lineRule="auto"/>
              <w:jc w:val="both"/>
              <w:rPr>
                <w:rFonts w:asciiTheme="majorHAnsi" w:eastAsia="Times New Roman" w:hAnsiTheme="majorHAnsi" w:cs="Calibri"/>
                <w:b/>
              </w:rPr>
            </w:pPr>
            <w:r w:rsidRPr="008675CA">
              <w:rPr>
                <w:rFonts w:asciiTheme="majorHAnsi" w:eastAsia="Times New Roman" w:hAnsiTheme="majorHAnsi" w:cs="Calibri"/>
                <w:b/>
              </w:rPr>
              <w:t>Particulars</w:t>
            </w:r>
          </w:p>
        </w:tc>
        <w:tc>
          <w:tcPr>
            <w:tcW w:w="794" w:type="pct"/>
            <w:shd w:val="clear" w:color="auto" w:fill="BFBFBF" w:themeFill="background1" w:themeFillShade="BF"/>
            <w:noWrap/>
            <w:vAlign w:val="center"/>
            <w:hideMark/>
          </w:tcPr>
          <w:p w14:paraId="4CDA1537" w14:textId="77777777" w:rsidR="00DA77FC" w:rsidRPr="008675CA" w:rsidRDefault="00DA77FC" w:rsidP="00BF72C9">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 xml:space="preserve">FY </w:t>
            </w:r>
            <w:r w:rsidR="00BF72C9" w:rsidRPr="008675CA">
              <w:rPr>
                <w:rFonts w:asciiTheme="majorHAnsi" w:eastAsia="Times New Roman" w:hAnsiTheme="majorHAnsi" w:cs="Calibri"/>
                <w:b/>
              </w:rPr>
              <w:t>2020-21</w:t>
            </w:r>
          </w:p>
        </w:tc>
      </w:tr>
      <w:tr w:rsidR="00DA77FC" w:rsidRPr="008675CA" w14:paraId="11C8D04E" w14:textId="77777777" w:rsidTr="003D4573">
        <w:trPr>
          <w:trHeight w:val="262"/>
        </w:trPr>
        <w:tc>
          <w:tcPr>
            <w:tcW w:w="469" w:type="pct"/>
            <w:shd w:val="clear" w:color="auto" w:fill="auto"/>
            <w:noWrap/>
            <w:vAlign w:val="center"/>
            <w:hideMark/>
          </w:tcPr>
          <w:p w14:paraId="15FB4D79" w14:textId="77777777" w:rsidR="00DA77FC" w:rsidRPr="008675CA" w:rsidRDefault="00DA77FC"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1</w:t>
            </w:r>
          </w:p>
        </w:tc>
        <w:tc>
          <w:tcPr>
            <w:tcW w:w="3737" w:type="pct"/>
            <w:shd w:val="clear" w:color="auto" w:fill="auto"/>
            <w:noWrap/>
            <w:vAlign w:val="bottom"/>
          </w:tcPr>
          <w:p w14:paraId="64D7E37C" w14:textId="77777777" w:rsidR="00DA77FC" w:rsidRPr="008675CA" w:rsidRDefault="00DA77FC" w:rsidP="003D4573">
            <w:pPr>
              <w:spacing w:after="0" w:line="240" w:lineRule="auto"/>
              <w:jc w:val="both"/>
              <w:rPr>
                <w:rFonts w:asciiTheme="majorHAnsi" w:eastAsia="Times New Roman" w:hAnsiTheme="majorHAnsi" w:cs="Calibri"/>
              </w:rPr>
            </w:pPr>
            <w:r w:rsidRPr="008675CA">
              <w:rPr>
                <w:rFonts w:asciiTheme="majorHAnsi" w:eastAsia="Times New Roman" w:hAnsiTheme="majorHAnsi" w:cs="Calibri"/>
              </w:rPr>
              <w:t>IWC claim in the review petition (1)</w:t>
            </w:r>
          </w:p>
        </w:tc>
        <w:tc>
          <w:tcPr>
            <w:tcW w:w="794" w:type="pct"/>
            <w:shd w:val="clear" w:color="auto" w:fill="auto"/>
            <w:noWrap/>
            <w:vAlign w:val="center"/>
            <w:hideMark/>
          </w:tcPr>
          <w:p w14:paraId="493F05A8" w14:textId="77777777" w:rsidR="00DA77FC" w:rsidRPr="008675CA" w:rsidRDefault="00DA77FC" w:rsidP="007A771A">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w:t>
            </w:r>
            <w:r w:rsidR="007A771A" w:rsidRPr="008675CA">
              <w:rPr>
                <w:rFonts w:asciiTheme="majorHAnsi" w:eastAsia="Times New Roman" w:hAnsiTheme="majorHAnsi" w:cs="Calibri"/>
              </w:rPr>
              <w:t>079</w:t>
            </w:r>
          </w:p>
        </w:tc>
      </w:tr>
      <w:tr w:rsidR="00DA77FC" w:rsidRPr="008675CA" w14:paraId="2A124C90" w14:textId="77777777" w:rsidTr="003D4573">
        <w:trPr>
          <w:trHeight w:val="262"/>
        </w:trPr>
        <w:tc>
          <w:tcPr>
            <w:tcW w:w="469" w:type="pct"/>
            <w:shd w:val="clear" w:color="auto" w:fill="auto"/>
            <w:noWrap/>
            <w:vAlign w:val="center"/>
            <w:hideMark/>
          </w:tcPr>
          <w:p w14:paraId="5FEC04BE" w14:textId="77777777" w:rsidR="00DA77FC" w:rsidRPr="008675CA" w:rsidRDefault="00DA77FC"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2</w:t>
            </w:r>
          </w:p>
        </w:tc>
        <w:tc>
          <w:tcPr>
            <w:tcW w:w="3737" w:type="pct"/>
            <w:shd w:val="clear" w:color="auto" w:fill="auto"/>
            <w:noWrap/>
            <w:vAlign w:val="bottom"/>
          </w:tcPr>
          <w:p w14:paraId="7C7EE701" w14:textId="77777777" w:rsidR="00DA77FC" w:rsidRPr="008675CA" w:rsidRDefault="00DA77FC" w:rsidP="003D4573">
            <w:pPr>
              <w:spacing w:after="0" w:line="240" w:lineRule="auto"/>
              <w:jc w:val="both"/>
              <w:rPr>
                <w:rFonts w:asciiTheme="majorHAnsi" w:eastAsia="Times New Roman" w:hAnsiTheme="majorHAnsi" w:cs="Calibri"/>
              </w:rPr>
            </w:pPr>
            <w:r w:rsidRPr="008675CA">
              <w:rPr>
                <w:rFonts w:asciiTheme="majorHAnsi" w:eastAsia="Times New Roman" w:hAnsiTheme="majorHAnsi" w:cs="Calibri"/>
              </w:rPr>
              <w:t>IWC approved by Hon’ble Commission (2)</w:t>
            </w:r>
          </w:p>
        </w:tc>
        <w:tc>
          <w:tcPr>
            <w:tcW w:w="794" w:type="pct"/>
            <w:shd w:val="clear" w:color="auto" w:fill="auto"/>
            <w:noWrap/>
            <w:vAlign w:val="center"/>
            <w:hideMark/>
          </w:tcPr>
          <w:p w14:paraId="2B71067A" w14:textId="77777777" w:rsidR="00DA77FC" w:rsidRPr="008675CA" w:rsidRDefault="007A771A"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0.06</w:t>
            </w:r>
          </w:p>
        </w:tc>
      </w:tr>
      <w:tr w:rsidR="00DA77FC" w:rsidRPr="008675CA" w14:paraId="0AFFDD76" w14:textId="77777777" w:rsidTr="003D4573">
        <w:trPr>
          <w:trHeight w:val="262"/>
        </w:trPr>
        <w:tc>
          <w:tcPr>
            <w:tcW w:w="469" w:type="pct"/>
            <w:shd w:val="clear" w:color="auto" w:fill="auto"/>
            <w:noWrap/>
            <w:vAlign w:val="center"/>
            <w:hideMark/>
          </w:tcPr>
          <w:p w14:paraId="1B100CC7" w14:textId="77777777" w:rsidR="00DA77FC" w:rsidRPr="008675CA" w:rsidRDefault="00DA77FC"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3</w:t>
            </w:r>
          </w:p>
        </w:tc>
        <w:tc>
          <w:tcPr>
            <w:tcW w:w="3737" w:type="pct"/>
            <w:shd w:val="clear" w:color="auto" w:fill="auto"/>
            <w:noWrap/>
            <w:vAlign w:val="bottom"/>
            <w:hideMark/>
          </w:tcPr>
          <w:p w14:paraId="51C6E750" w14:textId="77777777" w:rsidR="00DA77FC" w:rsidRPr="008675CA" w:rsidRDefault="00DA77FC" w:rsidP="003D4573">
            <w:pPr>
              <w:spacing w:after="0" w:line="240" w:lineRule="auto"/>
              <w:jc w:val="both"/>
              <w:rPr>
                <w:rFonts w:asciiTheme="majorHAnsi" w:eastAsia="Times New Roman" w:hAnsiTheme="majorHAnsi" w:cs="Calibri"/>
              </w:rPr>
            </w:pPr>
            <w:r w:rsidRPr="008675CA">
              <w:rPr>
                <w:rFonts w:asciiTheme="majorHAnsi" w:eastAsia="Times New Roman" w:hAnsiTheme="majorHAnsi" w:cs="Calibri"/>
              </w:rPr>
              <w:t>Gap-Additional IWC (1-2)</w:t>
            </w:r>
          </w:p>
        </w:tc>
        <w:tc>
          <w:tcPr>
            <w:tcW w:w="794" w:type="pct"/>
            <w:shd w:val="clear" w:color="auto" w:fill="auto"/>
            <w:noWrap/>
            <w:vAlign w:val="center"/>
            <w:hideMark/>
          </w:tcPr>
          <w:p w14:paraId="56A4CAAB" w14:textId="77777777" w:rsidR="00DA77FC" w:rsidRPr="008675CA" w:rsidRDefault="00DA77FC"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0.02</w:t>
            </w:r>
          </w:p>
        </w:tc>
      </w:tr>
    </w:tbl>
    <w:p w14:paraId="662724D5" w14:textId="77777777" w:rsidR="00DA77FC" w:rsidRPr="008675CA" w:rsidRDefault="00DA77FC" w:rsidP="00DA77FC">
      <w:pPr>
        <w:tabs>
          <w:tab w:val="left" w:pos="6208"/>
        </w:tabs>
        <w:rPr>
          <w:rFonts w:asciiTheme="majorHAnsi" w:hAnsiTheme="majorHAnsi"/>
        </w:rPr>
      </w:pPr>
      <w:r w:rsidRPr="008675CA">
        <w:rPr>
          <w:rFonts w:asciiTheme="majorHAnsi" w:hAnsiTheme="majorHAnsi"/>
        </w:rPr>
        <w:lastRenderedPageBreak/>
        <w:t>MePGCL prays before the Hon’ble Commission to kindly consider the Additional IWC i</w:t>
      </w:r>
      <w:r w:rsidR="007A771A" w:rsidRPr="008675CA">
        <w:rPr>
          <w:rFonts w:asciiTheme="majorHAnsi" w:hAnsiTheme="majorHAnsi"/>
        </w:rPr>
        <w:t xml:space="preserve">n the review true up order at </w:t>
      </w:r>
      <w:r w:rsidRPr="008675CA">
        <w:rPr>
          <w:rFonts w:asciiTheme="majorHAnsi" w:hAnsiTheme="majorHAnsi"/>
        </w:rPr>
        <w:t>R</w:t>
      </w:r>
      <w:r w:rsidR="007A771A" w:rsidRPr="008675CA">
        <w:rPr>
          <w:rFonts w:asciiTheme="majorHAnsi" w:hAnsiTheme="majorHAnsi"/>
        </w:rPr>
        <w:t>s.</w:t>
      </w:r>
      <w:r w:rsidRPr="008675CA">
        <w:rPr>
          <w:rFonts w:asciiTheme="majorHAnsi" w:hAnsiTheme="majorHAnsi"/>
        </w:rPr>
        <w:t xml:space="preserve"> 0.02 Cr. </w:t>
      </w:r>
    </w:p>
    <w:p w14:paraId="06BCFB77" w14:textId="77777777" w:rsidR="00DA77FC" w:rsidRPr="008675CA" w:rsidRDefault="00372DCD" w:rsidP="00DA77FC">
      <w:pPr>
        <w:tabs>
          <w:tab w:val="left" w:pos="6208"/>
        </w:tabs>
        <w:rPr>
          <w:rFonts w:asciiTheme="majorHAnsi" w:hAnsiTheme="majorHAnsi"/>
        </w:rPr>
      </w:pPr>
      <w:r w:rsidRPr="008675CA">
        <w:rPr>
          <w:rFonts w:asciiTheme="majorHAnsi" w:hAnsiTheme="majorHAnsi"/>
        </w:rPr>
        <w:t>2</w:t>
      </w:r>
      <w:r w:rsidR="00DA77FC" w:rsidRPr="008675CA">
        <w:rPr>
          <w:rFonts w:asciiTheme="majorHAnsi" w:hAnsiTheme="majorHAnsi"/>
        </w:rPr>
        <w:t xml:space="preserve">.4.5. </w:t>
      </w:r>
      <w:r w:rsidR="00DA77FC" w:rsidRPr="008675CA">
        <w:rPr>
          <w:rFonts w:asciiTheme="majorHAnsi" w:hAnsiTheme="majorHAnsi"/>
          <w:b/>
        </w:rPr>
        <w:t xml:space="preserve">Revised ARR &amp; Net Additional Claim in Review for True Up FY </w:t>
      </w:r>
      <w:r w:rsidR="007A771A" w:rsidRPr="008675CA">
        <w:rPr>
          <w:rFonts w:asciiTheme="majorHAnsi" w:hAnsiTheme="majorHAnsi"/>
          <w:b/>
        </w:rPr>
        <w:t>2020-21</w:t>
      </w:r>
    </w:p>
    <w:p w14:paraId="1B07AFEB" w14:textId="2194CA4C" w:rsidR="00DA77FC" w:rsidRPr="008675CA" w:rsidRDefault="007A771A" w:rsidP="007A771A">
      <w:pPr>
        <w:pStyle w:val="Caption"/>
        <w:keepNext/>
        <w:spacing w:after="0"/>
        <w:rPr>
          <w:rFonts w:asciiTheme="majorHAnsi" w:hAnsiTheme="majorHAnsi"/>
          <w:b/>
          <w:i w:val="0"/>
          <w:color w:val="auto"/>
          <w:sz w:val="22"/>
          <w:szCs w:val="22"/>
        </w:rPr>
      </w:pPr>
      <w:r w:rsidRPr="008675CA">
        <w:rPr>
          <w:rFonts w:asciiTheme="majorHAnsi" w:hAnsiTheme="majorHAnsi"/>
          <w:b/>
          <w:i w:val="0"/>
          <w:color w:val="auto"/>
          <w:sz w:val="22"/>
          <w:szCs w:val="22"/>
        </w:rPr>
        <w:t xml:space="preserve">    </w:t>
      </w:r>
      <w:r w:rsidR="00DA77FC" w:rsidRPr="008675CA">
        <w:rPr>
          <w:rFonts w:asciiTheme="majorHAnsi" w:hAnsiTheme="majorHAnsi"/>
          <w:b/>
          <w:i w:val="0"/>
          <w:color w:val="auto"/>
          <w:sz w:val="22"/>
          <w:szCs w:val="22"/>
        </w:rPr>
        <w:t xml:space="preserve">Table </w:t>
      </w:r>
      <w:r w:rsidR="00104302" w:rsidRPr="008675CA">
        <w:rPr>
          <w:rFonts w:asciiTheme="majorHAnsi" w:hAnsiTheme="majorHAnsi"/>
          <w:b/>
          <w:i w:val="0"/>
          <w:color w:val="auto"/>
          <w:sz w:val="22"/>
          <w:szCs w:val="22"/>
        </w:rPr>
        <w:t>1</w:t>
      </w:r>
      <w:r w:rsidR="002A3B3D">
        <w:rPr>
          <w:rFonts w:asciiTheme="majorHAnsi" w:hAnsiTheme="majorHAnsi"/>
          <w:b/>
          <w:i w:val="0"/>
          <w:color w:val="auto"/>
          <w:sz w:val="22"/>
          <w:szCs w:val="22"/>
        </w:rPr>
        <w:t>9</w:t>
      </w:r>
      <w:r w:rsidR="00DA77FC" w:rsidRPr="008675CA">
        <w:rPr>
          <w:rFonts w:asciiTheme="majorHAnsi" w:hAnsiTheme="majorHAnsi"/>
          <w:b/>
          <w:i w:val="0"/>
          <w:color w:val="auto"/>
          <w:sz w:val="22"/>
          <w:szCs w:val="22"/>
        </w:rPr>
        <w:t>: Revised AFC for LAKROH in Review (</w:t>
      </w:r>
      <w:r w:rsidRPr="008675CA">
        <w:rPr>
          <w:rFonts w:asciiTheme="majorHAnsi" w:hAnsiTheme="majorHAnsi"/>
          <w:b/>
          <w:i w:val="0"/>
          <w:color w:val="auto"/>
          <w:sz w:val="22"/>
          <w:szCs w:val="22"/>
        </w:rPr>
        <w:t>Rs.in</w:t>
      </w:r>
      <w:r w:rsidR="00DA77FC" w:rsidRPr="008675CA">
        <w:rPr>
          <w:rFonts w:asciiTheme="majorHAnsi" w:hAnsiTheme="majorHAnsi"/>
          <w:b/>
          <w:i w:val="0"/>
          <w:color w:val="auto"/>
          <w:sz w:val="22"/>
          <w:szCs w:val="22"/>
        </w:rPr>
        <w:t xml:space="preserve"> Cr.)</w:t>
      </w:r>
      <w:r w:rsidRPr="008675CA">
        <w:rPr>
          <w:rFonts w:asciiTheme="majorHAnsi" w:hAnsiTheme="majorHAnsi"/>
          <w:b/>
          <w:i w:val="0"/>
          <w:color w:val="auto"/>
          <w:sz w:val="22"/>
          <w:szCs w:val="22"/>
        </w:rPr>
        <w:t xml:space="preserve"> for FY 2020-21</w:t>
      </w:r>
    </w:p>
    <w:tbl>
      <w:tblPr>
        <w:tblW w:w="4534"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1"/>
        <w:gridCol w:w="1714"/>
        <w:gridCol w:w="2156"/>
        <w:gridCol w:w="1976"/>
      </w:tblGrid>
      <w:tr w:rsidR="00DA77FC" w:rsidRPr="008675CA" w14:paraId="76E4C560" w14:textId="77777777" w:rsidTr="001C5AAB">
        <w:trPr>
          <w:trHeight w:val="317"/>
          <w:tblHeader/>
        </w:trPr>
        <w:tc>
          <w:tcPr>
            <w:tcW w:w="1722" w:type="pct"/>
            <w:shd w:val="clear" w:color="auto" w:fill="BFBFBF" w:themeFill="background1" w:themeFillShade="BF"/>
            <w:noWrap/>
            <w:vAlign w:val="center"/>
            <w:hideMark/>
          </w:tcPr>
          <w:p w14:paraId="10F479E1" w14:textId="77777777" w:rsidR="00DA77FC" w:rsidRPr="008675CA" w:rsidRDefault="00DA77FC" w:rsidP="003D4573">
            <w:pPr>
              <w:spacing w:after="0" w:line="240" w:lineRule="auto"/>
              <w:ind w:left="-15"/>
              <w:rPr>
                <w:rFonts w:asciiTheme="majorHAnsi" w:eastAsia="Times New Roman" w:hAnsiTheme="majorHAnsi" w:cs="Times New Roman"/>
                <w:b/>
              </w:rPr>
            </w:pPr>
            <w:r w:rsidRPr="008675CA">
              <w:rPr>
                <w:rFonts w:asciiTheme="majorHAnsi" w:hAnsiTheme="majorHAnsi"/>
                <w:b/>
              </w:rPr>
              <w:t>Particulars</w:t>
            </w:r>
          </w:p>
        </w:tc>
        <w:tc>
          <w:tcPr>
            <w:tcW w:w="961" w:type="pct"/>
            <w:shd w:val="clear" w:color="auto" w:fill="BFBFBF" w:themeFill="background1" w:themeFillShade="BF"/>
            <w:noWrap/>
            <w:vAlign w:val="center"/>
            <w:hideMark/>
          </w:tcPr>
          <w:p w14:paraId="0DF4665D" w14:textId="77777777" w:rsidR="00DA77FC" w:rsidRPr="008675CA" w:rsidRDefault="00DA77FC" w:rsidP="003D4573">
            <w:pPr>
              <w:spacing w:after="0" w:line="240" w:lineRule="auto"/>
              <w:ind w:left="-29"/>
              <w:jc w:val="center"/>
              <w:rPr>
                <w:rFonts w:asciiTheme="majorHAnsi" w:eastAsia="Times New Roman" w:hAnsiTheme="majorHAnsi" w:cs="Calibri"/>
                <w:b/>
              </w:rPr>
            </w:pPr>
            <w:r w:rsidRPr="008675CA">
              <w:rPr>
                <w:rFonts w:asciiTheme="majorHAnsi" w:eastAsia="Times New Roman" w:hAnsiTheme="majorHAnsi" w:cs="Calibri"/>
                <w:b/>
              </w:rPr>
              <w:t xml:space="preserve">AFC as per review </w:t>
            </w:r>
          </w:p>
        </w:tc>
        <w:tc>
          <w:tcPr>
            <w:tcW w:w="1209" w:type="pct"/>
            <w:shd w:val="clear" w:color="auto" w:fill="BFBFBF" w:themeFill="background1" w:themeFillShade="BF"/>
            <w:noWrap/>
            <w:vAlign w:val="center"/>
          </w:tcPr>
          <w:p w14:paraId="7407A50B" w14:textId="77777777" w:rsidR="00DA77FC" w:rsidRPr="008675CA" w:rsidRDefault="007A771A" w:rsidP="003D4573">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AFC as per</w:t>
            </w:r>
            <w:r w:rsidR="00DA77FC" w:rsidRPr="008675CA">
              <w:rPr>
                <w:rFonts w:asciiTheme="majorHAnsi" w:eastAsia="Times New Roman" w:hAnsiTheme="majorHAnsi" w:cs="Calibri"/>
                <w:b/>
              </w:rPr>
              <w:t xml:space="preserve"> True up Order</w:t>
            </w:r>
          </w:p>
        </w:tc>
        <w:tc>
          <w:tcPr>
            <w:tcW w:w="1108" w:type="pct"/>
            <w:shd w:val="clear" w:color="auto" w:fill="BFBFBF" w:themeFill="background1" w:themeFillShade="BF"/>
            <w:vAlign w:val="center"/>
          </w:tcPr>
          <w:p w14:paraId="64539E17" w14:textId="77777777" w:rsidR="00DA77FC" w:rsidRPr="008675CA" w:rsidRDefault="00DA77FC" w:rsidP="003D4573">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Gap/(Surplus)</w:t>
            </w:r>
          </w:p>
        </w:tc>
      </w:tr>
      <w:tr w:rsidR="00DA77FC" w:rsidRPr="008675CA" w14:paraId="1EC92DC0" w14:textId="77777777" w:rsidTr="001C5AAB">
        <w:trPr>
          <w:trHeight w:val="317"/>
        </w:trPr>
        <w:tc>
          <w:tcPr>
            <w:tcW w:w="1722" w:type="pct"/>
            <w:shd w:val="clear" w:color="auto" w:fill="auto"/>
            <w:vAlign w:val="center"/>
            <w:hideMark/>
          </w:tcPr>
          <w:p w14:paraId="4174D8BB" w14:textId="77777777" w:rsidR="00DA77FC" w:rsidRPr="008675CA" w:rsidRDefault="00DA77FC"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O&amp;M Expenses</w:t>
            </w:r>
          </w:p>
        </w:tc>
        <w:tc>
          <w:tcPr>
            <w:tcW w:w="961" w:type="pct"/>
            <w:shd w:val="clear" w:color="auto" w:fill="auto"/>
            <w:noWrap/>
            <w:vAlign w:val="center"/>
            <w:hideMark/>
          </w:tcPr>
          <w:p w14:paraId="3AAB444B" w14:textId="77777777" w:rsidR="00DA77FC" w:rsidRPr="008675CA" w:rsidRDefault="007A771A" w:rsidP="003D4573">
            <w:pPr>
              <w:spacing w:after="0" w:line="240" w:lineRule="auto"/>
              <w:ind w:left="-29"/>
              <w:jc w:val="center"/>
              <w:rPr>
                <w:rFonts w:asciiTheme="majorHAnsi" w:eastAsia="Times New Roman" w:hAnsiTheme="majorHAnsi" w:cs="Calibri"/>
              </w:rPr>
            </w:pPr>
            <w:r w:rsidRPr="008675CA">
              <w:rPr>
                <w:rFonts w:asciiTheme="majorHAnsi" w:hAnsiTheme="majorHAnsi" w:cs="Calibri"/>
              </w:rPr>
              <w:t>0.54</w:t>
            </w:r>
          </w:p>
        </w:tc>
        <w:tc>
          <w:tcPr>
            <w:tcW w:w="1209" w:type="pct"/>
            <w:vAlign w:val="center"/>
          </w:tcPr>
          <w:p w14:paraId="5767BA3A" w14:textId="77777777" w:rsidR="00DA77FC" w:rsidRPr="008675CA" w:rsidRDefault="007A771A" w:rsidP="007A771A">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0.54</w:t>
            </w:r>
          </w:p>
        </w:tc>
        <w:tc>
          <w:tcPr>
            <w:tcW w:w="1108" w:type="pct"/>
            <w:vAlign w:val="center"/>
          </w:tcPr>
          <w:p w14:paraId="416019C3" w14:textId="77777777" w:rsidR="00DA77FC" w:rsidRPr="008675CA" w:rsidRDefault="00DA77FC" w:rsidP="003D4573">
            <w:pPr>
              <w:spacing w:after="0"/>
              <w:jc w:val="center"/>
              <w:rPr>
                <w:rFonts w:asciiTheme="majorHAnsi" w:hAnsiTheme="majorHAnsi" w:cs="Calibri"/>
              </w:rPr>
            </w:pPr>
            <w:r w:rsidRPr="008675CA">
              <w:rPr>
                <w:rFonts w:asciiTheme="majorHAnsi" w:hAnsiTheme="majorHAnsi" w:cs="Calibri"/>
              </w:rPr>
              <w:t>0</w:t>
            </w:r>
          </w:p>
        </w:tc>
      </w:tr>
      <w:tr w:rsidR="00DA77FC" w:rsidRPr="008675CA" w14:paraId="2558A484" w14:textId="77777777" w:rsidTr="001C5AAB">
        <w:trPr>
          <w:trHeight w:val="317"/>
        </w:trPr>
        <w:tc>
          <w:tcPr>
            <w:tcW w:w="1722" w:type="pct"/>
            <w:shd w:val="clear" w:color="auto" w:fill="auto"/>
            <w:vAlign w:val="center"/>
            <w:hideMark/>
          </w:tcPr>
          <w:p w14:paraId="26ECE569" w14:textId="77777777" w:rsidR="00DA77FC" w:rsidRPr="008675CA" w:rsidRDefault="00DA77FC"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Depreciation</w:t>
            </w:r>
          </w:p>
        </w:tc>
        <w:tc>
          <w:tcPr>
            <w:tcW w:w="961" w:type="pct"/>
            <w:shd w:val="clear" w:color="auto" w:fill="auto"/>
            <w:noWrap/>
            <w:vAlign w:val="center"/>
            <w:hideMark/>
          </w:tcPr>
          <w:p w14:paraId="6929ABA2" w14:textId="77777777" w:rsidR="00DA77FC" w:rsidRPr="008675CA" w:rsidRDefault="007A771A" w:rsidP="003D4573">
            <w:pPr>
              <w:spacing w:after="0" w:line="240" w:lineRule="auto"/>
              <w:ind w:left="-29"/>
              <w:jc w:val="center"/>
              <w:rPr>
                <w:rFonts w:asciiTheme="majorHAnsi" w:eastAsia="Times New Roman" w:hAnsiTheme="majorHAnsi" w:cs="Calibri"/>
              </w:rPr>
            </w:pPr>
            <w:r w:rsidRPr="008675CA">
              <w:rPr>
                <w:rFonts w:asciiTheme="majorHAnsi" w:hAnsiTheme="majorHAnsi" w:cs="Calibri"/>
              </w:rPr>
              <w:t>1.25</w:t>
            </w:r>
          </w:p>
        </w:tc>
        <w:tc>
          <w:tcPr>
            <w:tcW w:w="1209" w:type="pct"/>
            <w:vAlign w:val="center"/>
          </w:tcPr>
          <w:p w14:paraId="7EAA526B" w14:textId="77777777" w:rsidR="00DA77FC" w:rsidRPr="008675CA" w:rsidRDefault="007A771A"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0.41</w:t>
            </w:r>
          </w:p>
        </w:tc>
        <w:tc>
          <w:tcPr>
            <w:tcW w:w="1108" w:type="pct"/>
            <w:vAlign w:val="center"/>
          </w:tcPr>
          <w:p w14:paraId="6728DAA4" w14:textId="77777777" w:rsidR="00DA77FC" w:rsidRPr="008675CA" w:rsidRDefault="007A771A" w:rsidP="003D4573">
            <w:pPr>
              <w:spacing w:after="0"/>
              <w:jc w:val="center"/>
              <w:rPr>
                <w:rFonts w:asciiTheme="majorHAnsi" w:hAnsiTheme="majorHAnsi" w:cs="Calibri"/>
              </w:rPr>
            </w:pPr>
            <w:r w:rsidRPr="008675CA">
              <w:rPr>
                <w:rFonts w:asciiTheme="majorHAnsi" w:hAnsiTheme="majorHAnsi" w:cs="Calibri"/>
              </w:rPr>
              <w:t>0.84</w:t>
            </w:r>
          </w:p>
        </w:tc>
      </w:tr>
      <w:tr w:rsidR="00DA77FC" w:rsidRPr="008675CA" w14:paraId="465DE4B3" w14:textId="77777777" w:rsidTr="001C5AAB">
        <w:trPr>
          <w:trHeight w:val="317"/>
        </w:trPr>
        <w:tc>
          <w:tcPr>
            <w:tcW w:w="1722" w:type="pct"/>
            <w:shd w:val="clear" w:color="auto" w:fill="auto"/>
            <w:vAlign w:val="center"/>
            <w:hideMark/>
          </w:tcPr>
          <w:p w14:paraId="54AC14BF" w14:textId="77777777" w:rsidR="00DA77FC" w:rsidRPr="008675CA" w:rsidRDefault="00DA77FC"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Interest &amp; Finance charges</w:t>
            </w:r>
          </w:p>
        </w:tc>
        <w:tc>
          <w:tcPr>
            <w:tcW w:w="961" w:type="pct"/>
            <w:shd w:val="clear" w:color="auto" w:fill="auto"/>
            <w:noWrap/>
            <w:vAlign w:val="center"/>
            <w:hideMark/>
          </w:tcPr>
          <w:p w14:paraId="68A4D773" w14:textId="77777777" w:rsidR="00DA77FC" w:rsidRPr="008675CA" w:rsidRDefault="007A771A" w:rsidP="003D4573">
            <w:pPr>
              <w:spacing w:after="0" w:line="240" w:lineRule="auto"/>
              <w:ind w:left="-29"/>
              <w:jc w:val="center"/>
              <w:rPr>
                <w:rFonts w:asciiTheme="majorHAnsi" w:eastAsia="Times New Roman" w:hAnsiTheme="majorHAnsi" w:cs="Calibri"/>
              </w:rPr>
            </w:pPr>
            <w:r w:rsidRPr="008675CA">
              <w:rPr>
                <w:rFonts w:asciiTheme="majorHAnsi" w:hAnsiTheme="majorHAnsi" w:cs="Calibri"/>
              </w:rPr>
              <w:t>0.43</w:t>
            </w:r>
          </w:p>
        </w:tc>
        <w:tc>
          <w:tcPr>
            <w:tcW w:w="1209" w:type="pct"/>
            <w:vAlign w:val="center"/>
          </w:tcPr>
          <w:p w14:paraId="16EA3E7B" w14:textId="77777777" w:rsidR="00DA77FC" w:rsidRPr="008675CA" w:rsidRDefault="007A771A" w:rsidP="007A771A">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0.43</w:t>
            </w:r>
          </w:p>
        </w:tc>
        <w:tc>
          <w:tcPr>
            <w:tcW w:w="1108" w:type="pct"/>
            <w:vAlign w:val="center"/>
          </w:tcPr>
          <w:p w14:paraId="336BB725" w14:textId="77777777" w:rsidR="00DA77FC" w:rsidRPr="008675CA" w:rsidRDefault="00DA77FC" w:rsidP="003D4573">
            <w:pPr>
              <w:spacing w:after="0"/>
              <w:jc w:val="center"/>
              <w:rPr>
                <w:rFonts w:asciiTheme="majorHAnsi" w:hAnsiTheme="majorHAnsi" w:cs="Calibri"/>
              </w:rPr>
            </w:pPr>
            <w:r w:rsidRPr="008675CA">
              <w:rPr>
                <w:rFonts w:asciiTheme="majorHAnsi" w:hAnsiTheme="majorHAnsi" w:cs="Calibri"/>
              </w:rPr>
              <w:t>0</w:t>
            </w:r>
          </w:p>
        </w:tc>
      </w:tr>
      <w:tr w:rsidR="00DA77FC" w:rsidRPr="008675CA" w14:paraId="5B7AE324" w14:textId="77777777" w:rsidTr="001C5AAB">
        <w:trPr>
          <w:trHeight w:val="317"/>
        </w:trPr>
        <w:tc>
          <w:tcPr>
            <w:tcW w:w="1722" w:type="pct"/>
            <w:shd w:val="clear" w:color="auto" w:fill="auto"/>
            <w:vAlign w:val="center"/>
            <w:hideMark/>
          </w:tcPr>
          <w:p w14:paraId="1B1B9433" w14:textId="77777777" w:rsidR="00DA77FC" w:rsidRPr="008675CA" w:rsidRDefault="007A771A" w:rsidP="007A771A">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 xml:space="preserve">Return on Equity </w:t>
            </w:r>
          </w:p>
        </w:tc>
        <w:tc>
          <w:tcPr>
            <w:tcW w:w="961" w:type="pct"/>
            <w:shd w:val="clear" w:color="auto" w:fill="auto"/>
            <w:noWrap/>
            <w:vAlign w:val="center"/>
            <w:hideMark/>
          </w:tcPr>
          <w:p w14:paraId="0C1134F5" w14:textId="77777777" w:rsidR="00DA77FC" w:rsidRPr="008675CA" w:rsidRDefault="007A771A" w:rsidP="003D4573">
            <w:pPr>
              <w:spacing w:after="0" w:line="240" w:lineRule="auto"/>
              <w:ind w:left="-29"/>
              <w:jc w:val="center"/>
              <w:rPr>
                <w:rFonts w:asciiTheme="majorHAnsi" w:eastAsia="Times New Roman" w:hAnsiTheme="majorHAnsi" w:cs="Calibri"/>
              </w:rPr>
            </w:pPr>
            <w:r w:rsidRPr="008675CA">
              <w:rPr>
                <w:rFonts w:asciiTheme="majorHAnsi" w:hAnsiTheme="majorHAnsi" w:cs="Calibri"/>
              </w:rPr>
              <w:t>0.56</w:t>
            </w:r>
          </w:p>
        </w:tc>
        <w:tc>
          <w:tcPr>
            <w:tcW w:w="1209" w:type="pct"/>
            <w:vAlign w:val="center"/>
          </w:tcPr>
          <w:p w14:paraId="0B2958F9" w14:textId="77777777" w:rsidR="00DA77FC" w:rsidRPr="008675CA" w:rsidRDefault="007A771A"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0.42</w:t>
            </w:r>
          </w:p>
        </w:tc>
        <w:tc>
          <w:tcPr>
            <w:tcW w:w="1108" w:type="pct"/>
            <w:vAlign w:val="center"/>
          </w:tcPr>
          <w:p w14:paraId="4C470440" w14:textId="77777777" w:rsidR="00DA77FC" w:rsidRPr="008675CA" w:rsidRDefault="007A771A" w:rsidP="003D4573">
            <w:pPr>
              <w:spacing w:after="0"/>
              <w:jc w:val="center"/>
              <w:rPr>
                <w:rFonts w:asciiTheme="majorHAnsi" w:hAnsiTheme="majorHAnsi" w:cs="Calibri"/>
              </w:rPr>
            </w:pPr>
            <w:r w:rsidRPr="008675CA">
              <w:rPr>
                <w:rFonts w:asciiTheme="majorHAnsi" w:hAnsiTheme="majorHAnsi" w:cs="Calibri"/>
              </w:rPr>
              <w:t>0.14</w:t>
            </w:r>
          </w:p>
        </w:tc>
      </w:tr>
      <w:tr w:rsidR="00DA77FC" w:rsidRPr="008675CA" w14:paraId="009E23BC" w14:textId="77777777" w:rsidTr="001C5AAB">
        <w:trPr>
          <w:trHeight w:val="317"/>
        </w:trPr>
        <w:tc>
          <w:tcPr>
            <w:tcW w:w="1722" w:type="pct"/>
            <w:shd w:val="clear" w:color="auto" w:fill="auto"/>
            <w:vAlign w:val="center"/>
            <w:hideMark/>
          </w:tcPr>
          <w:p w14:paraId="1468B865" w14:textId="77777777" w:rsidR="00DA77FC" w:rsidRPr="008675CA" w:rsidRDefault="007A771A"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Interest on Working Capital</w:t>
            </w:r>
          </w:p>
        </w:tc>
        <w:tc>
          <w:tcPr>
            <w:tcW w:w="961" w:type="pct"/>
            <w:shd w:val="clear" w:color="auto" w:fill="auto"/>
            <w:noWrap/>
            <w:vAlign w:val="center"/>
            <w:hideMark/>
          </w:tcPr>
          <w:p w14:paraId="1076A5C7" w14:textId="7504DCA0" w:rsidR="00DA77FC" w:rsidRPr="008675CA" w:rsidRDefault="002A3B3D" w:rsidP="003D4573">
            <w:pPr>
              <w:spacing w:after="0" w:line="240" w:lineRule="auto"/>
              <w:ind w:left="-29"/>
              <w:jc w:val="center"/>
              <w:rPr>
                <w:rFonts w:asciiTheme="majorHAnsi" w:eastAsia="Times New Roman" w:hAnsiTheme="majorHAnsi" w:cs="Calibri"/>
              </w:rPr>
            </w:pPr>
            <w:r>
              <w:rPr>
                <w:rFonts w:asciiTheme="majorHAnsi" w:hAnsiTheme="majorHAnsi" w:cs="Calibri"/>
              </w:rPr>
              <w:t>0.079</w:t>
            </w:r>
          </w:p>
        </w:tc>
        <w:tc>
          <w:tcPr>
            <w:tcW w:w="1209" w:type="pct"/>
            <w:vAlign w:val="center"/>
          </w:tcPr>
          <w:p w14:paraId="32C287C7" w14:textId="77777777" w:rsidR="00DA77FC" w:rsidRPr="008675CA" w:rsidRDefault="007A771A"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0.06</w:t>
            </w:r>
          </w:p>
        </w:tc>
        <w:tc>
          <w:tcPr>
            <w:tcW w:w="1108" w:type="pct"/>
            <w:vAlign w:val="center"/>
          </w:tcPr>
          <w:p w14:paraId="6BDFB7E1" w14:textId="7C147E81" w:rsidR="00DA77FC" w:rsidRPr="008675CA" w:rsidRDefault="002A3B3D" w:rsidP="003D4573">
            <w:pPr>
              <w:spacing w:after="0"/>
              <w:jc w:val="center"/>
              <w:rPr>
                <w:rFonts w:asciiTheme="majorHAnsi" w:hAnsiTheme="majorHAnsi" w:cs="Calibri"/>
              </w:rPr>
            </w:pPr>
            <w:r>
              <w:rPr>
                <w:rFonts w:asciiTheme="majorHAnsi" w:hAnsiTheme="majorHAnsi" w:cs="Calibri"/>
              </w:rPr>
              <w:t>0.02</w:t>
            </w:r>
          </w:p>
        </w:tc>
      </w:tr>
      <w:tr w:rsidR="00DA77FC" w:rsidRPr="008675CA" w14:paraId="6D065561" w14:textId="77777777" w:rsidTr="001C5AAB">
        <w:trPr>
          <w:trHeight w:val="317"/>
        </w:trPr>
        <w:tc>
          <w:tcPr>
            <w:tcW w:w="1722" w:type="pct"/>
            <w:shd w:val="clear" w:color="auto" w:fill="auto"/>
            <w:vAlign w:val="center"/>
            <w:hideMark/>
          </w:tcPr>
          <w:p w14:paraId="4DCD937A" w14:textId="77777777" w:rsidR="00DA77FC" w:rsidRPr="008675CA" w:rsidRDefault="00DA77FC"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SLDC Charges</w:t>
            </w:r>
          </w:p>
        </w:tc>
        <w:tc>
          <w:tcPr>
            <w:tcW w:w="961" w:type="pct"/>
            <w:shd w:val="clear" w:color="auto" w:fill="auto"/>
            <w:noWrap/>
            <w:vAlign w:val="center"/>
            <w:hideMark/>
          </w:tcPr>
          <w:p w14:paraId="629F814B" w14:textId="77777777" w:rsidR="00DA77FC" w:rsidRPr="008675CA" w:rsidRDefault="00DA77FC" w:rsidP="003D4573">
            <w:pPr>
              <w:spacing w:after="0" w:line="240" w:lineRule="auto"/>
              <w:ind w:left="-29"/>
              <w:jc w:val="center"/>
              <w:rPr>
                <w:rFonts w:asciiTheme="majorHAnsi" w:eastAsia="Times New Roman" w:hAnsiTheme="majorHAnsi" w:cs="Calibri"/>
              </w:rPr>
            </w:pPr>
            <w:r w:rsidRPr="008675CA">
              <w:rPr>
                <w:rFonts w:asciiTheme="majorHAnsi" w:eastAsia="Times New Roman" w:hAnsiTheme="majorHAnsi" w:cs="Calibri"/>
              </w:rPr>
              <w:t>-</w:t>
            </w:r>
          </w:p>
        </w:tc>
        <w:tc>
          <w:tcPr>
            <w:tcW w:w="1209" w:type="pct"/>
            <w:vAlign w:val="center"/>
          </w:tcPr>
          <w:p w14:paraId="1C2FF49D" w14:textId="77777777" w:rsidR="00DA77FC" w:rsidRPr="008675CA" w:rsidRDefault="00DA77FC"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w:t>
            </w:r>
          </w:p>
        </w:tc>
        <w:tc>
          <w:tcPr>
            <w:tcW w:w="1108" w:type="pct"/>
            <w:vAlign w:val="center"/>
          </w:tcPr>
          <w:p w14:paraId="76C7E0C1" w14:textId="77777777" w:rsidR="00DA77FC" w:rsidRPr="008675CA" w:rsidRDefault="00DA77FC" w:rsidP="003D4573">
            <w:pPr>
              <w:spacing w:after="0"/>
              <w:jc w:val="center"/>
              <w:rPr>
                <w:rFonts w:asciiTheme="majorHAnsi" w:hAnsiTheme="majorHAnsi" w:cs="Calibri"/>
              </w:rPr>
            </w:pPr>
            <w:r w:rsidRPr="008675CA">
              <w:rPr>
                <w:rFonts w:asciiTheme="majorHAnsi" w:hAnsiTheme="majorHAnsi" w:cs="Calibri"/>
              </w:rPr>
              <w:t>-</w:t>
            </w:r>
          </w:p>
        </w:tc>
      </w:tr>
      <w:tr w:rsidR="00DA77FC" w:rsidRPr="008675CA" w14:paraId="17EC07E1" w14:textId="77777777" w:rsidTr="001C5AAB">
        <w:trPr>
          <w:trHeight w:val="317"/>
        </w:trPr>
        <w:tc>
          <w:tcPr>
            <w:tcW w:w="1722" w:type="pct"/>
            <w:shd w:val="clear" w:color="auto" w:fill="auto"/>
            <w:vAlign w:val="center"/>
            <w:hideMark/>
          </w:tcPr>
          <w:p w14:paraId="27066173" w14:textId="77777777" w:rsidR="00DA77FC" w:rsidRPr="008675CA" w:rsidRDefault="00DA77FC" w:rsidP="003D4573">
            <w:pPr>
              <w:spacing w:after="0" w:line="240" w:lineRule="auto"/>
              <w:ind w:left="-15"/>
              <w:rPr>
                <w:rFonts w:asciiTheme="majorHAnsi" w:eastAsia="Times New Roman" w:hAnsiTheme="majorHAnsi" w:cs="Calibri"/>
                <w:b/>
                <w:bCs/>
              </w:rPr>
            </w:pPr>
            <w:r w:rsidRPr="008675CA">
              <w:rPr>
                <w:rFonts w:asciiTheme="majorHAnsi" w:eastAsia="Times New Roman" w:hAnsiTheme="majorHAnsi" w:cs="Calibri"/>
                <w:b/>
                <w:bCs/>
              </w:rPr>
              <w:t>Gross AFC</w:t>
            </w:r>
          </w:p>
        </w:tc>
        <w:tc>
          <w:tcPr>
            <w:tcW w:w="961" w:type="pct"/>
            <w:shd w:val="clear" w:color="auto" w:fill="auto"/>
            <w:noWrap/>
            <w:vAlign w:val="center"/>
            <w:hideMark/>
          </w:tcPr>
          <w:p w14:paraId="3AD55251" w14:textId="28ECD635" w:rsidR="00DA77FC" w:rsidRPr="008675CA" w:rsidRDefault="002A3B3D" w:rsidP="003D4573">
            <w:pPr>
              <w:spacing w:after="0" w:line="240" w:lineRule="auto"/>
              <w:ind w:left="-29"/>
              <w:jc w:val="center"/>
              <w:rPr>
                <w:rFonts w:asciiTheme="majorHAnsi" w:eastAsia="Times New Roman" w:hAnsiTheme="majorHAnsi" w:cs="Calibri"/>
                <w:b/>
                <w:bCs/>
              </w:rPr>
            </w:pPr>
            <w:r>
              <w:rPr>
                <w:rFonts w:asciiTheme="majorHAnsi" w:eastAsia="Times New Roman" w:hAnsiTheme="majorHAnsi" w:cs="Calibri"/>
                <w:b/>
                <w:bCs/>
              </w:rPr>
              <w:t>2.86</w:t>
            </w:r>
          </w:p>
        </w:tc>
        <w:tc>
          <w:tcPr>
            <w:tcW w:w="1209" w:type="pct"/>
            <w:vAlign w:val="center"/>
          </w:tcPr>
          <w:p w14:paraId="24C3C997" w14:textId="77777777" w:rsidR="00DA77FC" w:rsidRPr="008675CA" w:rsidRDefault="007A771A"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1.86</w:t>
            </w:r>
          </w:p>
        </w:tc>
        <w:tc>
          <w:tcPr>
            <w:tcW w:w="1108" w:type="pct"/>
            <w:vAlign w:val="center"/>
          </w:tcPr>
          <w:p w14:paraId="0619695F" w14:textId="34A57B15" w:rsidR="00DA77FC" w:rsidRPr="008675CA" w:rsidRDefault="002A3B3D" w:rsidP="003D4573">
            <w:pPr>
              <w:spacing w:after="0"/>
              <w:jc w:val="center"/>
              <w:rPr>
                <w:rFonts w:asciiTheme="majorHAnsi" w:hAnsiTheme="majorHAnsi" w:cs="Calibri"/>
                <w:b/>
              </w:rPr>
            </w:pPr>
            <w:r>
              <w:rPr>
                <w:rFonts w:asciiTheme="majorHAnsi" w:hAnsiTheme="majorHAnsi" w:cs="Calibri"/>
                <w:b/>
              </w:rPr>
              <w:t>1.0</w:t>
            </w:r>
          </w:p>
        </w:tc>
      </w:tr>
      <w:tr w:rsidR="00DA77FC" w:rsidRPr="008675CA" w14:paraId="65637299" w14:textId="77777777" w:rsidTr="001C5AAB">
        <w:trPr>
          <w:trHeight w:val="317"/>
        </w:trPr>
        <w:tc>
          <w:tcPr>
            <w:tcW w:w="1722" w:type="pct"/>
            <w:shd w:val="clear" w:color="auto" w:fill="auto"/>
            <w:vAlign w:val="center"/>
            <w:hideMark/>
          </w:tcPr>
          <w:p w14:paraId="54F6F637" w14:textId="77777777" w:rsidR="00DA77FC" w:rsidRPr="008675CA" w:rsidRDefault="00DA77FC" w:rsidP="003D4573">
            <w:pPr>
              <w:spacing w:after="0" w:line="240" w:lineRule="auto"/>
              <w:ind w:left="-15"/>
              <w:rPr>
                <w:rFonts w:asciiTheme="majorHAnsi" w:eastAsia="Times New Roman" w:hAnsiTheme="majorHAnsi" w:cs="Calibri"/>
                <w:bCs/>
              </w:rPr>
            </w:pPr>
            <w:r w:rsidRPr="008675CA">
              <w:rPr>
                <w:rFonts w:asciiTheme="majorHAnsi" w:eastAsia="Times New Roman" w:hAnsiTheme="majorHAnsi" w:cs="Calibri"/>
                <w:bCs/>
              </w:rPr>
              <w:t xml:space="preserve">Less: </w:t>
            </w:r>
            <w:r w:rsidRPr="008675CA">
              <w:rPr>
                <w:rFonts w:asciiTheme="majorHAnsi" w:eastAsia="Times New Roman" w:hAnsiTheme="majorHAnsi" w:cs="Calibri"/>
              </w:rPr>
              <w:t>Non-Tariff Income</w:t>
            </w:r>
          </w:p>
        </w:tc>
        <w:tc>
          <w:tcPr>
            <w:tcW w:w="961" w:type="pct"/>
            <w:shd w:val="clear" w:color="auto" w:fill="auto"/>
            <w:noWrap/>
            <w:vAlign w:val="center"/>
            <w:hideMark/>
          </w:tcPr>
          <w:p w14:paraId="21506DA8" w14:textId="77777777" w:rsidR="00DA77FC" w:rsidRPr="008675CA" w:rsidRDefault="00DA77FC" w:rsidP="003D4573">
            <w:pPr>
              <w:spacing w:after="0" w:line="240" w:lineRule="auto"/>
              <w:ind w:left="-29"/>
              <w:jc w:val="center"/>
              <w:rPr>
                <w:rFonts w:asciiTheme="majorHAnsi" w:eastAsia="Times New Roman" w:hAnsiTheme="majorHAnsi" w:cs="Calibri"/>
              </w:rPr>
            </w:pPr>
            <w:r w:rsidRPr="008675CA">
              <w:rPr>
                <w:rFonts w:asciiTheme="majorHAnsi" w:hAnsiTheme="majorHAnsi" w:cs="Calibri"/>
              </w:rPr>
              <w:t>0</w:t>
            </w:r>
          </w:p>
        </w:tc>
        <w:tc>
          <w:tcPr>
            <w:tcW w:w="1209" w:type="pct"/>
            <w:vAlign w:val="center"/>
          </w:tcPr>
          <w:p w14:paraId="258B790F" w14:textId="77777777" w:rsidR="00DA77FC" w:rsidRPr="008675CA" w:rsidRDefault="00DA77FC"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w:t>
            </w:r>
          </w:p>
        </w:tc>
        <w:tc>
          <w:tcPr>
            <w:tcW w:w="1108" w:type="pct"/>
            <w:vAlign w:val="center"/>
          </w:tcPr>
          <w:p w14:paraId="72B002AC" w14:textId="77777777" w:rsidR="00DA77FC" w:rsidRPr="008675CA" w:rsidRDefault="00DA77FC" w:rsidP="003D4573">
            <w:pPr>
              <w:spacing w:after="0"/>
              <w:jc w:val="center"/>
              <w:rPr>
                <w:rFonts w:asciiTheme="majorHAnsi" w:hAnsiTheme="majorHAnsi" w:cs="Calibri"/>
              </w:rPr>
            </w:pPr>
            <w:r w:rsidRPr="008675CA">
              <w:rPr>
                <w:rFonts w:asciiTheme="majorHAnsi" w:hAnsiTheme="majorHAnsi" w:cs="Calibri"/>
              </w:rPr>
              <w:t>0</w:t>
            </w:r>
          </w:p>
        </w:tc>
      </w:tr>
      <w:tr w:rsidR="00DA77FC" w:rsidRPr="008675CA" w14:paraId="50230CE6" w14:textId="77777777" w:rsidTr="001C5AAB">
        <w:trPr>
          <w:trHeight w:val="317"/>
        </w:trPr>
        <w:tc>
          <w:tcPr>
            <w:tcW w:w="1722" w:type="pct"/>
            <w:shd w:val="clear" w:color="auto" w:fill="auto"/>
            <w:vAlign w:val="center"/>
            <w:hideMark/>
          </w:tcPr>
          <w:p w14:paraId="33304A00" w14:textId="77777777" w:rsidR="00DA77FC" w:rsidRPr="008675CA" w:rsidRDefault="00DA77FC" w:rsidP="003D4573">
            <w:pPr>
              <w:spacing w:after="0" w:line="240" w:lineRule="auto"/>
              <w:ind w:left="-15"/>
              <w:rPr>
                <w:rFonts w:asciiTheme="majorHAnsi" w:eastAsia="Times New Roman" w:hAnsiTheme="majorHAnsi" w:cs="Calibri"/>
                <w:b/>
                <w:bCs/>
              </w:rPr>
            </w:pPr>
            <w:r w:rsidRPr="008675CA">
              <w:rPr>
                <w:rFonts w:asciiTheme="majorHAnsi" w:eastAsia="Times New Roman" w:hAnsiTheme="majorHAnsi" w:cs="Calibri"/>
                <w:b/>
                <w:bCs/>
              </w:rPr>
              <w:t>Net AFC</w:t>
            </w:r>
          </w:p>
        </w:tc>
        <w:tc>
          <w:tcPr>
            <w:tcW w:w="961" w:type="pct"/>
            <w:shd w:val="clear" w:color="auto" w:fill="auto"/>
            <w:noWrap/>
            <w:vAlign w:val="center"/>
            <w:hideMark/>
          </w:tcPr>
          <w:p w14:paraId="5E93A37C" w14:textId="28FFB394" w:rsidR="00DA77FC" w:rsidRPr="008675CA" w:rsidRDefault="00DA77FC" w:rsidP="003E31B8">
            <w:pPr>
              <w:spacing w:after="0" w:line="240" w:lineRule="auto"/>
              <w:ind w:left="-29"/>
              <w:jc w:val="center"/>
              <w:rPr>
                <w:rFonts w:asciiTheme="majorHAnsi" w:eastAsia="Times New Roman" w:hAnsiTheme="majorHAnsi" w:cs="Calibri"/>
                <w:b/>
                <w:bCs/>
              </w:rPr>
            </w:pPr>
            <w:r w:rsidRPr="008675CA">
              <w:rPr>
                <w:rFonts w:asciiTheme="majorHAnsi" w:eastAsia="Times New Roman" w:hAnsiTheme="majorHAnsi" w:cs="Calibri"/>
                <w:b/>
                <w:bCs/>
              </w:rPr>
              <w:t>2.</w:t>
            </w:r>
            <w:r w:rsidR="003E31B8">
              <w:rPr>
                <w:rFonts w:asciiTheme="majorHAnsi" w:eastAsia="Times New Roman" w:hAnsiTheme="majorHAnsi" w:cs="Calibri"/>
                <w:b/>
                <w:bCs/>
              </w:rPr>
              <w:t>86</w:t>
            </w:r>
          </w:p>
        </w:tc>
        <w:tc>
          <w:tcPr>
            <w:tcW w:w="1209" w:type="pct"/>
            <w:vAlign w:val="center"/>
          </w:tcPr>
          <w:p w14:paraId="60F3C2CE" w14:textId="77777777" w:rsidR="00DA77FC" w:rsidRPr="008675CA" w:rsidRDefault="00DA77FC" w:rsidP="007A771A">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1.</w:t>
            </w:r>
            <w:r w:rsidR="007A771A" w:rsidRPr="008675CA">
              <w:rPr>
                <w:rFonts w:asciiTheme="majorHAnsi" w:eastAsia="Times New Roman" w:hAnsiTheme="majorHAnsi" w:cs="Calibri"/>
                <w:b/>
                <w:bCs/>
              </w:rPr>
              <w:t>86</w:t>
            </w:r>
          </w:p>
        </w:tc>
        <w:tc>
          <w:tcPr>
            <w:tcW w:w="1108" w:type="pct"/>
            <w:vAlign w:val="center"/>
          </w:tcPr>
          <w:p w14:paraId="02855539" w14:textId="77777777" w:rsidR="00DA77FC" w:rsidRPr="008675CA" w:rsidRDefault="00DA77FC" w:rsidP="003D4573">
            <w:pPr>
              <w:spacing w:after="0"/>
              <w:jc w:val="center"/>
              <w:rPr>
                <w:rFonts w:asciiTheme="majorHAnsi" w:hAnsiTheme="majorHAnsi" w:cs="Calibri"/>
                <w:b/>
              </w:rPr>
            </w:pPr>
          </w:p>
        </w:tc>
      </w:tr>
      <w:tr w:rsidR="00DA77FC" w:rsidRPr="008675CA" w14:paraId="6CC4C097" w14:textId="77777777" w:rsidTr="001C5AAB">
        <w:trPr>
          <w:trHeight w:val="317"/>
        </w:trPr>
        <w:tc>
          <w:tcPr>
            <w:tcW w:w="1722" w:type="pct"/>
            <w:shd w:val="clear" w:color="auto" w:fill="auto"/>
            <w:vAlign w:val="center"/>
            <w:hideMark/>
          </w:tcPr>
          <w:p w14:paraId="6BB2BF4D" w14:textId="77777777" w:rsidR="00DA77FC" w:rsidRPr="008675CA" w:rsidRDefault="00DA77FC" w:rsidP="003D4573">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 xml:space="preserve">Revenue from operations </w:t>
            </w:r>
          </w:p>
        </w:tc>
        <w:tc>
          <w:tcPr>
            <w:tcW w:w="961" w:type="pct"/>
            <w:shd w:val="clear" w:color="auto" w:fill="auto"/>
            <w:noWrap/>
            <w:hideMark/>
          </w:tcPr>
          <w:p w14:paraId="4361E575" w14:textId="77777777" w:rsidR="00DA77FC" w:rsidRPr="008675CA" w:rsidRDefault="00DA77FC" w:rsidP="007A771A">
            <w:pPr>
              <w:spacing w:after="0" w:line="240" w:lineRule="auto"/>
              <w:ind w:left="-29"/>
              <w:jc w:val="center"/>
              <w:rPr>
                <w:rFonts w:asciiTheme="majorHAnsi" w:eastAsia="Times New Roman" w:hAnsiTheme="majorHAnsi" w:cs="Calibri"/>
                <w:b/>
              </w:rPr>
            </w:pPr>
            <w:r w:rsidRPr="008675CA">
              <w:rPr>
                <w:rFonts w:asciiTheme="majorHAnsi" w:eastAsia="Times New Roman" w:hAnsiTheme="majorHAnsi" w:cs="Calibri"/>
                <w:b/>
              </w:rPr>
              <w:t>0.</w:t>
            </w:r>
            <w:r w:rsidR="007A771A" w:rsidRPr="008675CA">
              <w:rPr>
                <w:rFonts w:asciiTheme="majorHAnsi" w:eastAsia="Times New Roman" w:hAnsiTheme="majorHAnsi" w:cs="Calibri"/>
                <w:b/>
              </w:rPr>
              <w:t>50</w:t>
            </w:r>
          </w:p>
        </w:tc>
        <w:tc>
          <w:tcPr>
            <w:tcW w:w="1209" w:type="pct"/>
          </w:tcPr>
          <w:p w14:paraId="1DAC9658" w14:textId="77777777" w:rsidR="00DA77FC" w:rsidRPr="008675CA" w:rsidRDefault="00DA77FC" w:rsidP="003D4573">
            <w:pPr>
              <w:spacing w:after="0" w:line="240" w:lineRule="auto"/>
              <w:jc w:val="center"/>
              <w:rPr>
                <w:rFonts w:asciiTheme="majorHAnsi" w:eastAsia="Times New Roman" w:hAnsiTheme="majorHAnsi" w:cs="Calibri"/>
                <w:highlight w:val="yellow"/>
              </w:rPr>
            </w:pPr>
          </w:p>
        </w:tc>
        <w:tc>
          <w:tcPr>
            <w:tcW w:w="1108" w:type="pct"/>
          </w:tcPr>
          <w:p w14:paraId="01106379" w14:textId="77777777" w:rsidR="00DA77FC" w:rsidRPr="008675CA" w:rsidRDefault="00DA77FC" w:rsidP="003D4573">
            <w:pPr>
              <w:spacing w:after="0"/>
              <w:jc w:val="center"/>
              <w:rPr>
                <w:rFonts w:asciiTheme="majorHAnsi" w:hAnsiTheme="majorHAnsi" w:cs="Calibri"/>
                <w:b/>
                <w:highlight w:val="yellow"/>
              </w:rPr>
            </w:pPr>
          </w:p>
        </w:tc>
      </w:tr>
      <w:tr w:rsidR="00DA77FC" w:rsidRPr="008675CA" w14:paraId="04EBAFC7" w14:textId="77777777" w:rsidTr="006A354E">
        <w:trPr>
          <w:trHeight w:val="191"/>
        </w:trPr>
        <w:tc>
          <w:tcPr>
            <w:tcW w:w="1722" w:type="pct"/>
            <w:shd w:val="clear" w:color="auto" w:fill="auto"/>
            <w:vAlign w:val="center"/>
            <w:hideMark/>
          </w:tcPr>
          <w:p w14:paraId="531D646E" w14:textId="77777777" w:rsidR="00DA77FC" w:rsidRPr="008675CA" w:rsidRDefault="00DA77FC" w:rsidP="003D4573">
            <w:pPr>
              <w:spacing w:after="0" w:line="240" w:lineRule="auto"/>
              <w:rPr>
                <w:rFonts w:asciiTheme="majorHAnsi" w:eastAsia="Times New Roman" w:hAnsiTheme="majorHAnsi" w:cs="Calibri"/>
                <w:b/>
                <w:bCs/>
              </w:rPr>
            </w:pPr>
            <w:r w:rsidRPr="008675CA">
              <w:rPr>
                <w:rFonts w:asciiTheme="majorHAnsi" w:eastAsia="Times New Roman" w:hAnsiTheme="majorHAnsi" w:cs="Calibri"/>
                <w:b/>
                <w:bCs/>
              </w:rPr>
              <w:t>Gap (surplus)</w:t>
            </w:r>
          </w:p>
        </w:tc>
        <w:tc>
          <w:tcPr>
            <w:tcW w:w="961" w:type="pct"/>
            <w:shd w:val="clear" w:color="auto" w:fill="auto"/>
            <w:noWrap/>
            <w:hideMark/>
          </w:tcPr>
          <w:p w14:paraId="29A2B3D8" w14:textId="5972A081" w:rsidR="00DA77FC" w:rsidRPr="002A3B3D" w:rsidRDefault="002A3B3D" w:rsidP="003D4573">
            <w:pPr>
              <w:spacing w:after="0" w:line="240" w:lineRule="auto"/>
              <w:ind w:left="-29"/>
              <w:jc w:val="center"/>
              <w:rPr>
                <w:rFonts w:asciiTheme="majorHAnsi" w:eastAsia="Times New Roman" w:hAnsiTheme="majorHAnsi" w:cs="Calibri"/>
                <w:b/>
                <w:bCs/>
              </w:rPr>
            </w:pPr>
            <w:r w:rsidRPr="002A3B3D">
              <w:rPr>
                <w:rFonts w:asciiTheme="majorHAnsi" w:eastAsia="Times New Roman" w:hAnsiTheme="majorHAnsi" w:cs="Calibri"/>
                <w:b/>
                <w:bCs/>
              </w:rPr>
              <w:t>2.36</w:t>
            </w:r>
          </w:p>
        </w:tc>
        <w:tc>
          <w:tcPr>
            <w:tcW w:w="1209" w:type="pct"/>
          </w:tcPr>
          <w:p w14:paraId="61DA1DD0" w14:textId="77777777" w:rsidR="00DA77FC" w:rsidRPr="002A3B3D" w:rsidRDefault="007C46EE" w:rsidP="003D4573">
            <w:pPr>
              <w:spacing w:after="0" w:line="240" w:lineRule="auto"/>
              <w:jc w:val="center"/>
              <w:rPr>
                <w:rFonts w:asciiTheme="majorHAnsi" w:eastAsia="Times New Roman" w:hAnsiTheme="majorHAnsi" w:cs="Calibri"/>
                <w:b/>
                <w:bCs/>
              </w:rPr>
            </w:pPr>
            <w:r w:rsidRPr="002A3B3D">
              <w:rPr>
                <w:rFonts w:asciiTheme="majorHAnsi" w:eastAsia="Times New Roman" w:hAnsiTheme="majorHAnsi" w:cs="Calibri"/>
                <w:b/>
                <w:bCs/>
              </w:rPr>
              <w:t>1.36</w:t>
            </w:r>
          </w:p>
        </w:tc>
        <w:tc>
          <w:tcPr>
            <w:tcW w:w="1108" w:type="pct"/>
          </w:tcPr>
          <w:p w14:paraId="07B6A52F" w14:textId="3EEBBCE4" w:rsidR="00DA77FC" w:rsidRPr="002A3B3D" w:rsidRDefault="002A3B3D" w:rsidP="003D4573">
            <w:pPr>
              <w:spacing w:after="0"/>
              <w:jc w:val="center"/>
              <w:rPr>
                <w:rFonts w:asciiTheme="majorHAnsi" w:hAnsiTheme="majorHAnsi" w:cs="Calibri"/>
                <w:b/>
              </w:rPr>
            </w:pPr>
            <w:r>
              <w:rPr>
                <w:rFonts w:asciiTheme="majorHAnsi" w:hAnsiTheme="majorHAnsi" w:cs="Calibri"/>
                <w:b/>
              </w:rPr>
              <w:t>1.0</w:t>
            </w:r>
          </w:p>
        </w:tc>
      </w:tr>
    </w:tbl>
    <w:p w14:paraId="60C32581" w14:textId="77777777" w:rsidR="007A771A" w:rsidRPr="006517AE" w:rsidRDefault="007A771A" w:rsidP="00F12881">
      <w:pPr>
        <w:pStyle w:val="Style3"/>
      </w:pPr>
    </w:p>
    <w:p w14:paraId="3982B941" w14:textId="791C3533" w:rsidR="00372DCD" w:rsidRPr="006517AE" w:rsidRDefault="00DA77FC" w:rsidP="00F12881">
      <w:pPr>
        <w:pStyle w:val="Style3"/>
      </w:pPr>
      <w:r w:rsidRPr="006517AE">
        <w:t>MePGCL request the Hon’ble Commission to consider a</w:t>
      </w:r>
      <w:r w:rsidR="006517AE" w:rsidRPr="006517AE">
        <w:t>dditional</w:t>
      </w:r>
      <w:r w:rsidRPr="006517AE">
        <w:t xml:space="preserve"> </w:t>
      </w:r>
      <w:r w:rsidR="007C46EE" w:rsidRPr="006517AE">
        <w:t xml:space="preserve">revenue </w:t>
      </w:r>
      <w:r w:rsidRPr="006517AE">
        <w:t xml:space="preserve">GAP for review of True up order for FY </w:t>
      </w:r>
      <w:r w:rsidR="007A771A" w:rsidRPr="006517AE">
        <w:t>2020-21</w:t>
      </w:r>
      <w:r w:rsidRPr="006517AE">
        <w:t xml:space="preserve"> at </w:t>
      </w:r>
      <w:r w:rsidR="007A771A" w:rsidRPr="006517AE">
        <w:t>Rs.</w:t>
      </w:r>
      <w:r w:rsidR="007C46EE" w:rsidRPr="006517AE">
        <w:t>1.</w:t>
      </w:r>
      <w:r w:rsidR="002A3B3D" w:rsidRPr="006517AE">
        <w:t>0</w:t>
      </w:r>
      <w:r w:rsidRPr="006517AE">
        <w:t xml:space="preserve"> Cr.</w:t>
      </w:r>
      <w:bookmarkStart w:id="53" w:name="_Toc102318568"/>
      <w:r w:rsidR="007A771A" w:rsidRPr="006517AE">
        <w:t xml:space="preserve"> to be adjusted in </w:t>
      </w:r>
      <w:r w:rsidR="007C46EE" w:rsidRPr="006517AE">
        <w:t xml:space="preserve">the review petition for </w:t>
      </w:r>
      <w:r w:rsidR="007A771A" w:rsidRPr="006517AE">
        <w:t xml:space="preserve">FY </w:t>
      </w:r>
      <w:r w:rsidR="007C46EE" w:rsidRPr="006517AE">
        <w:t>2023-24</w:t>
      </w:r>
      <w:r w:rsidR="007A771A" w:rsidRPr="006517AE">
        <w:t>.</w:t>
      </w:r>
    </w:p>
    <w:p w14:paraId="6709C1F6" w14:textId="77777777" w:rsidR="00372DCD" w:rsidRPr="008675CA" w:rsidRDefault="00372DCD" w:rsidP="00F12881">
      <w:pPr>
        <w:pStyle w:val="Style3"/>
      </w:pPr>
    </w:p>
    <w:p w14:paraId="7C62E1EA" w14:textId="77777777" w:rsidR="00DA77FC" w:rsidRPr="00F12881" w:rsidRDefault="00372DCD" w:rsidP="00F12881">
      <w:pPr>
        <w:pStyle w:val="Style3"/>
      </w:pPr>
      <w:r w:rsidRPr="00F12881">
        <w:t xml:space="preserve">2.5 </w:t>
      </w:r>
      <w:r w:rsidR="00DA77FC" w:rsidRPr="00F12881">
        <w:t xml:space="preserve">TRUE UP FOR OLD STATIONS INCLUDING SONAPANI FOR FY </w:t>
      </w:r>
      <w:bookmarkEnd w:id="53"/>
      <w:r w:rsidR="007A771A" w:rsidRPr="00F12881">
        <w:t>2020-21</w:t>
      </w:r>
    </w:p>
    <w:p w14:paraId="7881CF42" w14:textId="77777777" w:rsidR="008F330F" w:rsidRPr="008675CA" w:rsidRDefault="008F330F" w:rsidP="00F12881">
      <w:pPr>
        <w:pStyle w:val="Style3"/>
      </w:pPr>
    </w:p>
    <w:p w14:paraId="26F8FD8E" w14:textId="77777777" w:rsidR="00DA77FC" w:rsidRPr="008675CA" w:rsidRDefault="00372DCD" w:rsidP="00F12881">
      <w:pPr>
        <w:pStyle w:val="Style3"/>
      </w:pPr>
      <w:r w:rsidRPr="008675CA">
        <w:t>2</w:t>
      </w:r>
      <w:r w:rsidR="008F330F" w:rsidRPr="008675CA">
        <w:t xml:space="preserve">.5.1 </w:t>
      </w:r>
      <w:r w:rsidR="00DA77FC" w:rsidRPr="008675CA">
        <w:t>Gross Fixed Assets</w:t>
      </w:r>
    </w:p>
    <w:p w14:paraId="3923FDB0" w14:textId="77777777" w:rsidR="00DA77FC" w:rsidRPr="008675CA" w:rsidRDefault="00DA77FC" w:rsidP="008F330F">
      <w:pPr>
        <w:pStyle w:val="ListParagraph"/>
        <w:ind w:left="426"/>
        <w:jc w:val="both"/>
        <w:rPr>
          <w:rFonts w:asciiTheme="majorHAnsi" w:hAnsiTheme="majorHAnsi"/>
          <w:szCs w:val="22"/>
        </w:rPr>
      </w:pPr>
      <w:r w:rsidRPr="008675CA">
        <w:rPr>
          <w:rFonts w:asciiTheme="majorHAnsi" w:hAnsiTheme="majorHAnsi"/>
          <w:szCs w:val="22"/>
        </w:rPr>
        <w:t xml:space="preserve">In the True Up order for FY </w:t>
      </w:r>
      <w:r w:rsidR="00CE1433" w:rsidRPr="008675CA">
        <w:rPr>
          <w:rFonts w:asciiTheme="majorHAnsi" w:hAnsiTheme="majorHAnsi"/>
          <w:szCs w:val="22"/>
        </w:rPr>
        <w:t>2020-21</w:t>
      </w:r>
      <w:r w:rsidRPr="008675CA">
        <w:rPr>
          <w:rFonts w:asciiTheme="majorHAnsi" w:hAnsiTheme="majorHAnsi"/>
          <w:szCs w:val="22"/>
        </w:rPr>
        <w:t>, the Hon’ble Commission has considered asset base of old plants at R</w:t>
      </w:r>
      <w:r w:rsidR="00CE1433" w:rsidRPr="008675CA">
        <w:rPr>
          <w:rFonts w:asciiTheme="majorHAnsi" w:hAnsiTheme="majorHAnsi"/>
          <w:szCs w:val="22"/>
        </w:rPr>
        <w:t>s. 51.42</w:t>
      </w:r>
      <w:r w:rsidRPr="008675CA">
        <w:rPr>
          <w:rFonts w:asciiTheme="majorHAnsi" w:hAnsiTheme="majorHAnsi"/>
          <w:szCs w:val="22"/>
        </w:rPr>
        <w:t xml:space="preserve"> Cr. (</w:t>
      </w:r>
      <w:r w:rsidR="00CE1433" w:rsidRPr="008675CA">
        <w:rPr>
          <w:rFonts w:asciiTheme="majorHAnsi" w:hAnsiTheme="majorHAnsi"/>
          <w:szCs w:val="22"/>
        </w:rPr>
        <w:t>table 50</w:t>
      </w:r>
      <w:r w:rsidRPr="008675CA">
        <w:rPr>
          <w:rFonts w:asciiTheme="majorHAnsi" w:hAnsiTheme="majorHAnsi"/>
          <w:szCs w:val="22"/>
        </w:rPr>
        <w:t xml:space="preserve"> of the true up order). The Commission considered only assets of Umiam Stage-4 and Sonapani including renovation and modernisation for Umiam Stage-II.</w:t>
      </w:r>
    </w:p>
    <w:p w14:paraId="34C81F42" w14:textId="77777777" w:rsidR="00DA77FC" w:rsidRPr="008675CA" w:rsidRDefault="00DA77FC" w:rsidP="00DA77FC">
      <w:pPr>
        <w:pStyle w:val="ListParagraph"/>
        <w:ind w:left="360"/>
        <w:jc w:val="both"/>
        <w:rPr>
          <w:rFonts w:asciiTheme="majorHAnsi" w:hAnsiTheme="majorHAnsi"/>
          <w:szCs w:val="22"/>
        </w:rPr>
      </w:pPr>
    </w:p>
    <w:p w14:paraId="7C63E40A" w14:textId="77777777" w:rsidR="00DA77FC" w:rsidRPr="008675CA" w:rsidRDefault="00DA77FC" w:rsidP="008F330F">
      <w:pPr>
        <w:pStyle w:val="ListParagraph"/>
        <w:ind w:left="426"/>
        <w:jc w:val="both"/>
        <w:rPr>
          <w:rFonts w:asciiTheme="majorHAnsi" w:hAnsiTheme="majorHAnsi"/>
          <w:szCs w:val="22"/>
        </w:rPr>
      </w:pPr>
      <w:r w:rsidRPr="008675CA">
        <w:rPr>
          <w:rFonts w:asciiTheme="majorHAnsi" w:hAnsiTheme="majorHAnsi"/>
          <w:szCs w:val="22"/>
        </w:rPr>
        <w:t>The Hon’ble Commission has referred to Tariff Order of FY 2013-14</w:t>
      </w:r>
      <w:r w:rsidR="00CE1433" w:rsidRPr="008675CA">
        <w:rPr>
          <w:rFonts w:asciiTheme="majorHAnsi" w:hAnsiTheme="majorHAnsi"/>
          <w:szCs w:val="22"/>
        </w:rPr>
        <w:t xml:space="preserve"> </w:t>
      </w:r>
      <w:r w:rsidRPr="008675CA">
        <w:rPr>
          <w:rFonts w:asciiTheme="majorHAnsi" w:hAnsiTheme="majorHAnsi"/>
          <w:szCs w:val="22"/>
        </w:rPr>
        <w:t>for the cost of Umiam  Stage – IV and Sonapani</w:t>
      </w:r>
      <w:r w:rsidR="00CE1433" w:rsidRPr="008675CA">
        <w:rPr>
          <w:rFonts w:asciiTheme="majorHAnsi" w:hAnsiTheme="majorHAnsi"/>
          <w:szCs w:val="22"/>
        </w:rPr>
        <w:t xml:space="preserve"> </w:t>
      </w:r>
      <w:r w:rsidRPr="008675CA">
        <w:rPr>
          <w:rFonts w:asciiTheme="majorHAnsi" w:hAnsiTheme="majorHAnsi"/>
          <w:szCs w:val="22"/>
        </w:rPr>
        <w:t xml:space="preserve">amounting to INR 49.39 Cr. In the tariff order of FY 2013-14 the project cost of Stage – IV was based on the DPR cost (as mentioned in “Table – 9 Depreciation” Page number- 76 of MePGCL Tariff Order for FY 2013-14 dated 30.03.2014). </w:t>
      </w:r>
      <w:r w:rsidRPr="008675CA">
        <w:rPr>
          <w:rFonts w:asciiTheme="majorHAnsi" w:hAnsiTheme="majorHAnsi"/>
          <w:b/>
          <w:color w:val="002060"/>
          <w:szCs w:val="22"/>
        </w:rPr>
        <w:t>However, the actual project cost of Umiam Stage IV</w:t>
      </w:r>
      <w:r w:rsidR="00CE1433" w:rsidRPr="008675CA">
        <w:rPr>
          <w:rFonts w:asciiTheme="majorHAnsi" w:hAnsiTheme="majorHAnsi"/>
          <w:b/>
          <w:color w:val="002060"/>
          <w:szCs w:val="22"/>
        </w:rPr>
        <w:t xml:space="preserve"> </w:t>
      </w:r>
      <w:r w:rsidRPr="008675CA">
        <w:rPr>
          <w:rFonts w:asciiTheme="majorHAnsi" w:hAnsiTheme="majorHAnsi"/>
          <w:b/>
          <w:color w:val="002060"/>
          <w:szCs w:val="22"/>
        </w:rPr>
        <w:t>is much higher than the DPR cost</w:t>
      </w:r>
      <w:r w:rsidRPr="008675CA">
        <w:rPr>
          <w:rFonts w:asciiTheme="majorHAnsi" w:hAnsiTheme="majorHAnsi"/>
          <w:szCs w:val="22"/>
        </w:rPr>
        <w:t xml:space="preserve">. </w:t>
      </w:r>
      <w:r w:rsidR="004A2B0D">
        <w:rPr>
          <w:rFonts w:asciiTheme="majorHAnsi" w:hAnsiTheme="majorHAnsi"/>
          <w:b/>
          <w:szCs w:val="22"/>
        </w:rPr>
        <w:t xml:space="preserve">Thus, using the </w:t>
      </w:r>
      <w:r w:rsidRPr="004A2B0D">
        <w:rPr>
          <w:rFonts w:asciiTheme="majorHAnsi" w:hAnsiTheme="majorHAnsi"/>
          <w:b/>
          <w:szCs w:val="22"/>
        </w:rPr>
        <w:t xml:space="preserve">cost of INR 49.39 Cr as value of old plants asset for FY </w:t>
      </w:r>
      <w:r w:rsidR="00CE1433" w:rsidRPr="004A2B0D">
        <w:rPr>
          <w:rFonts w:asciiTheme="majorHAnsi" w:hAnsiTheme="majorHAnsi"/>
          <w:b/>
          <w:szCs w:val="22"/>
        </w:rPr>
        <w:t>2020-21</w:t>
      </w:r>
      <w:r w:rsidRPr="004A2B0D">
        <w:rPr>
          <w:rFonts w:asciiTheme="majorHAnsi" w:hAnsiTheme="majorHAnsi"/>
          <w:b/>
          <w:szCs w:val="22"/>
        </w:rPr>
        <w:t xml:space="preserve"> appears not to be logical and seems to be an inadvertent error on the part of the Hon’ble Commission</w:t>
      </w:r>
      <w:r w:rsidRPr="008675CA">
        <w:rPr>
          <w:rFonts w:asciiTheme="majorHAnsi" w:hAnsiTheme="majorHAnsi"/>
          <w:szCs w:val="22"/>
        </w:rPr>
        <w:t>.</w:t>
      </w:r>
    </w:p>
    <w:p w14:paraId="1F305543" w14:textId="74122872" w:rsidR="00DA77FC" w:rsidRPr="008675CA" w:rsidRDefault="00CE1433" w:rsidP="00CE1433">
      <w:pPr>
        <w:spacing w:after="0"/>
        <w:ind w:left="426"/>
        <w:jc w:val="both"/>
        <w:rPr>
          <w:rFonts w:asciiTheme="majorHAnsi" w:hAnsiTheme="majorHAnsi"/>
          <w:b/>
          <w:i/>
        </w:rPr>
      </w:pPr>
      <w:r w:rsidRPr="008675CA">
        <w:rPr>
          <w:rFonts w:asciiTheme="majorHAnsi" w:hAnsiTheme="majorHAnsi"/>
          <w:b/>
          <w:i/>
        </w:rPr>
        <w:t xml:space="preserve">As per the directives of the Order for FY 2023-24, the breakup of the assets of Umiam Stage-IV is being work out and yet to be finalized. The same will be submitted after </w:t>
      </w:r>
      <w:r w:rsidR="002A3B3D">
        <w:rPr>
          <w:rFonts w:asciiTheme="majorHAnsi" w:hAnsiTheme="majorHAnsi"/>
          <w:b/>
          <w:i/>
        </w:rPr>
        <w:t xml:space="preserve">it is </w:t>
      </w:r>
      <w:r w:rsidRPr="008675CA">
        <w:rPr>
          <w:rFonts w:asciiTheme="majorHAnsi" w:hAnsiTheme="majorHAnsi"/>
          <w:b/>
          <w:i/>
        </w:rPr>
        <w:t>audited by the Charter</w:t>
      </w:r>
      <w:r w:rsidR="002A3B3D">
        <w:rPr>
          <w:rFonts w:asciiTheme="majorHAnsi" w:hAnsiTheme="majorHAnsi"/>
          <w:b/>
          <w:i/>
        </w:rPr>
        <w:t>ed</w:t>
      </w:r>
      <w:r w:rsidRPr="008675CA">
        <w:rPr>
          <w:rFonts w:asciiTheme="majorHAnsi" w:hAnsiTheme="majorHAnsi"/>
          <w:b/>
          <w:i/>
        </w:rPr>
        <w:t xml:space="preserve"> </w:t>
      </w:r>
      <w:r w:rsidR="004A2B0D">
        <w:rPr>
          <w:rFonts w:asciiTheme="majorHAnsi" w:hAnsiTheme="majorHAnsi"/>
          <w:b/>
          <w:i/>
        </w:rPr>
        <w:t>A</w:t>
      </w:r>
      <w:r w:rsidRPr="008675CA">
        <w:rPr>
          <w:rFonts w:asciiTheme="majorHAnsi" w:hAnsiTheme="majorHAnsi"/>
          <w:b/>
          <w:i/>
        </w:rPr>
        <w:t>ccountant.</w:t>
      </w:r>
    </w:p>
    <w:p w14:paraId="1C43A81C" w14:textId="77777777" w:rsidR="00DA77FC" w:rsidRPr="008675CA" w:rsidRDefault="00DA77FC" w:rsidP="008F330F">
      <w:pPr>
        <w:ind w:left="426"/>
        <w:jc w:val="both"/>
        <w:rPr>
          <w:rFonts w:asciiTheme="majorHAnsi" w:eastAsia="Times New Roman" w:hAnsiTheme="majorHAnsi" w:cs="Times New Roman"/>
          <w:lang w:val="en-GB"/>
        </w:rPr>
      </w:pPr>
      <w:r w:rsidRPr="008675CA">
        <w:rPr>
          <w:rFonts w:asciiTheme="majorHAnsi" w:hAnsiTheme="majorHAnsi"/>
        </w:rPr>
        <w:t>As most of the old plants of MePGCL had crossed their useful life, Renovation &amp;</w:t>
      </w:r>
      <w:r w:rsidR="00CE1433" w:rsidRPr="008675CA">
        <w:rPr>
          <w:rFonts w:asciiTheme="majorHAnsi" w:hAnsiTheme="majorHAnsi"/>
        </w:rPr>
        <w:t xml:space="preserve"> </w:t>
      </w:r>
      <w:r w:rsidRPr="008675CA">
        <w:rPr>
          <w:rFonts w:asciiTheme="majorHAnsi" w:hAnsiTheme="majorHAnsi"/>
        </w:rPr>
        <w:t>Modernisation works were undertaken to increase their useful life. This further added to capitalisation and value of asset base which needs to be recovered through depreciation, RoE, etc.</w:t>
      </w:r>
      <w:r w:rsidRPr="008675CA">
        <w:rPr>
          <w:rFonts w:asciiTheme="majorHAnsi" w:eastAsia="Times New Roman" w:hAnsiTheme="majorHAnsi" w:cs="Times New Roman"/>
          <w:lang w:val="en-GB"/>
        </w:rPr>
        <w:t xml:space="preserve">In this context, it is important to note that the Hon’ble Commission in its Tariff Order for MePGCL for FY 2014-15 dated 10.04.2014, has considered R&amp;M cost of Umiam Stage-I and II </w:t>
      </w:r>
      <w:r w:rsidRPr="008675CA">
        <w:rPr>
          <w:rFonts w:asciiTheme="majorHAnsi" w:eastAsia="Times New Roman" w:hAnsiTheme="majorHAnsi" w:cs="Times New Roman"/>
          <w:lang w:val="en-GB"/>
        </w:rPr>
        <w:lastRenderedPageBreak/>
        <w:t>(“Table: Depreciation” Page number 65), for capital cost calculation of the old plants (including Sonapani).</w:t>
      </w:r>
    </w:p>
    <w:p w14:paraId="6A94F98F" w14:textId="77A68A82" w:rsidR="00DA77FC" w:rsidRPr="008675CA" w:rsidRDefault="00DA77FC" w:rsidP="008F330F">
      <w:pPr>
        <w:pStyle w:val="ListParagraph"/>
        <w:ind w:left="426"/>
        <w:jc w:val="both"/>
        <w:rPr>
          <w:rFonts w:asciiTheme="majorHAnsi" w:hAnsiTheme="majorHAnsi"/>
          <w:b/>
          <w:szCs w:val="22"/>
        </w:rPr>
      </w:pPr>
      <w:r w:rsidRPr="008675CA">
        <w:rPr>
          <w:rFonts w:asciiTheme="majorHAnsi" w:hAnsiTheme="majorHAnsi"/>
          <w:szCs w:val="22"/>
        </w:rPr>
        <w:t xml:space="preserve">Infact, the Hon’ble Commission in its Tariff order for MePGCL for FY 2015-16 dated 30.03.2015 (Table- 8, page-64 of the order), has considered the average GFA at INR 391.24 Crore as on 31.03.2015. Considering this and subsequent capitalisation due to R&amp;M works for old plants, </w:t>
      </w:r>
      <w:r w:rsidRPr="008675CA">
        <w:rPr>
          <w:rFonts w:asciiTheme="majorHAnsi" w:hAnsiTheme="majorHAnsi"/>
          <w:b/>
          <w:szCs w:val="22"/>
        </w:rPr>
        <w:t xml:space="preserve">opening asset value for old plants of </w:t>
      </w:r>
      <w:r w:rsidR="00935FB0" w:rsidRPr="008675CA">
        <w:rPr>
          <w:rFonts w:asciiTheme="majorHAnsi" w:hAnsiTheme="majorHAnsi"/>
          <w:b/>
          <w:szCs w:val="22"/>
        </w:rPr>
        <w:t>Rs. 429.62</w:t>
      </w:r>
      <w:r w:rsidRPr="008675CA">
        <w:rPr>
          <w:rFonts w:asciiTheme="majorHAnsi" w:hAnsiTheme="majorHAnsi"/>
          <w:b/>
          <w:szCs w:val="22"/>
        </w:rPr>
        <w:t xml:space="preserve"> Cr is </w:t>
      </w:r>
      <w:r w:rsidR="002A3B3D">
        <w:rPr>
          <w:rFonts w:asciiTheme="majorHAnsi" w:hAnsiTheme="majorHAnsi"/>
          <w:b/>
          <w:szCs w:val="22"/>
        </w:rPr>
        <w:t xml:space="preserve">felt </w:t>
      </w:r>
      <w:r w:rsidRPr="008675CA">
        <w:rPr>
          <w:rFonts w:asciiTheme="majorHAnsi" w:hAnsiTheme="majorHAnsi"/>
          <w:b/>
          <w:szCs w:val="22"/>
        </w:rPr>
        <w:t>justified.</w:t>
      </w:r>
    </w:p>
    <w:p w14:paraId="7036D669" w14:textId="77777777" w:rsidR="00DA77FC" w:rsidRPr="008675CA" w:rsidRDefault="00DA77FC" w:rsidP="00DA77FC">
      <w:pPr>
        <w:spacing w:after="0"/>
        <w:jc w:val="both"/>
        <w:rPr>
          <w:rFonts w:asciiTheme="majorHAnsi" w:hAnsiTheme="majorHAnsi"/>
        </w:rPr>
      </w:pPr>
    </w:p>
    <w:p w14:paraId="02CC76D4" w14:textId="20C279E3" w:rsidR="00DA77FC" w:rsidRPr="008675CA" w:rsidRDefault="00DA77FC" w:rsidP="008F330F">
      <w:pPr>
        <w:pStyle w:val="ListParagraph"/>
        <w:ind w:left="426"/>
        <w:jc w:val="both"/>
        <w:rPr>
          <w:rFonts w:asciiTheme="majorHAnsi" w:hAnsiTheme="majorHAnsi"/>
          <w:szCs w:val="22"/>
        </w:rPr>
      </w:pPr>
      <w:r w:rsidRPr="008675CA">
        <w:rPr>
          <w:rFonts w:asciiTheme="majorHAnsi" w:hAnsiTheme="majorHAnsi"/>
          <w:szCs w:val="22"/>
        </w:rPr>
        <w:t>As such, MePGCL requests the Hon’ble Commission to</w:t>
      </w:r>
      <w:r w:rsidR="00935FB0" w:rsidRPr="008675CA">
        <w:rPr>
          <w:rFonts w:asciiTheme="majorHAnsi" w:hAnsiTheme="majorHAnsi"/>
          <w:szCs w:val="22"/>
        </w:rPr>
        <w:t xml:space="preserve"> </w:t>
      </w:r>
      <w:r w:rsidRPr="008675CA">
        <w:rPr>
          <w:rFonts w:asciiTheme="majorHAnsi" w:hAnsiTheme="majorHAnsi"/>
          <w:szCs w:val="22"/>
        </w:rPr>
        <w:t>kindly review the asset base figures and consider actual asset base as per  “Note 1: Property, Plant and Equipment” of the audited Statement of Accounts of MePGCL</w:t>
      </w:r>
      <w:r w:rsidR="0057523F" w:rsidRPr="008675CA">
        <w:rPr>
          <w:rFonts w:asciiTheme="majorHAnsi" w:hAnsiTheme="majorHAnsi"/>
          <w:szCs w:val="22"/>
        </w:rPr>
        <w:t xml:space="preserve"> </w:t>
      </w:r>
      <w:r w:rsidRPr="008675CA">
        <w:rPr>
          <w:rFonts w:asciiTheme="majorHAnsi" w:hAnsiTheme="majorHAnsi"/>
          <w:szCs w:val="22"/>
        </w:rPr>
        <w:t xml:space="preserve">for FY </w:t>
      </w:r>
      <w:r w:rsidR="00935FB0" w:rsidRPr="008675CA">
        <w:rPr>
          <w:rFonts w:asciiTheme="majorHAnsi" w:hAnsiTheme="majorHAnsi"/>
          <w:szCs w:val="22"/>
        </w:rPr>
        <w:t>2020-21</w:t>
      </w:r>
      <w:r w:rsidRPr="008675CA">
        <w:rPr>
          <w:rFonts w:asciiTheme="majorHAnsi" w:hAnsiTheme="majorHAnsi"/>
          <w:szCs w:val="22"/>
        </w:rPr>
        <w:t>.The petitioner</w:t>
      </w:r>
      <w:r w:rsidR="0057523F" w:rsidRPr="008675CA">
        <w:rPr>
          <w:rFonts w:asciiTheme="majorHAnsi" w:hAnsiTheme="majorHAnsi"/>
          <w:szCs w:val="22"/>
        </w:rPr>
        <w:t xml:space="preserve"> </w:t>
      </w:r>
      <w:r w:rsidRPr="008675CA">
        <w:rPr>
          <w:rFonts w:asciiTheme="majorHAnsi" w:hAnsiTheme="majorHAnsi"/>
          <w:szCs w:val="22"/>
        </w:rPr>
        <w:t xml:space="preserve">also requests the Hon’ble Commission to reconsider the asset base of Old stations including Sonapani after segregating the assets of MLHEP, NUHEP and Lakroh MHP from MePGCL as a whole as per the table below for further calculations. </w:t>
      </w:r>
    </w:p>
    <w:p w14:paraId="78F76014" w14:textId="77777777" w:rsidR="00DA77FC" w:rsidRPr="008675CA" w:rsidRDefault="00DA77FC" w:rsidP="00DA77FC">
      <w:pPr>
        <w:spacing w:after="0"/>
        <w:ind w:left="180"/>
        <w:jc w:val="both"/>
        <w:rPr>
          <w:rFonts w:asciiTheme="majorHAnsi" w:hAnsiTheme="majorHAnsi"/>
        </w:rPr>
      </w:pPr>
    </w:p>
    <w:p w14:paraId="452DE0E5" w14:textId="77777777" w:rsidR="00DA77FC" w:rsidRPr="008675CA" w:rsidRDefault="00104302" w:rsidP="00DA77FC">
      <w:pPr>
        <w:pStyle w:val="Caption"/>
        <w:keepNext/>
        <w:spacing w:after="0"/>
        <w:jc w:val="center"/>
        <w:rPr>
          <w:rFonts w:asciiTheme="majorHAnsi" w:hAnsiTheme="majorHAnsi"/>
          <w:b/>
          <w:i w:val="0"/>
          <w:color w:val="auto"/>
          <w:sz w:val="22"/>
          <w:szCs w:val="22"/>
        </w:rPr>
      </w:pPr>
      <w:r w:rsidRPr="008675CA">
        <w:rPr>
          <w:rFonts w:asciiTheme="majorHAnsi" w:hAnsiTheme="majorHAnsi"/>
          <w:b/>
          <w:i w:val="0"/>
          <w:color w:val="auto"/>
          <w:sz w:val="22"/>
          <w:szCs w:val="22"/>
        </w:rPr>
        <w:t>Table</w:t>
      </w:r>
      <w:r w:rsidR="004A2B0D">
        <w:rPr>
          <w:rFonts w:asciiTheme="majorHAnsi" w:hAnsiTheme="majorHAnsi"/>
          <w:b/>
          <w:i w:val="0"/>
          <w:color w:val="auto"/>
          <w:sz w:val="22"/>
          <w:szCs w:val="22"/>
        </w:rPr>
        <w:t xml:space="preserve"> </w:t>
      </w:r>
      <w:r w:rsidRPr="008675CA">
        <w:rPr>
          <w:rFonts w:asciiTheme="majorHAnsi" w:hAnsiTheme="majorHAnsi"/>
          <w:b/>
          <w:i w:val="0"/>
          <w:color w:val="auto"/>
          <w:sz w:val="22"/>
          <w:szCs w:val="22"/>
        </w:rPr>
        <w:t>1</w:t>
      </w:r>
      <w:r w:rsidR="004A2B0D">
        <w:rPr>
          <w:rFonts w:asciiTheme="majorHAnsi" w:hAnsiTheme="majorHAnsi"/>
          <w:b/>
          <w:i w:val="0"/>
          <w:color w:val="auto"/>
          <w:sz w:val="22"/>
          <w:szCs w:val="22"/>
        </w:rPr>
        <w:t>9</w:t>
      </w:r>
      <w:r w:rsidR="00DA77FC" w:rsidRPr="008675CA">
        <w:rPr>
          <w:rFonts w:asciiTheme="majorHAnsi" w:hAnsiTheme="majorHAnsi"/>
          <w:b/>
          <w:i w:val="0"/>
          <w:color w:val="auto"/>
          <w:sz w:val="22"/>
          <w:szCs w:val="22"/>
        </w:rPr>
        <w:t>: Gross Fixed Asset of MePGCL Old Plants (Including Sonapani)</w:t>
      </w:r>
    </w:p>
    <w:tbl>
      <w:tblPr>
        <w:tblW w:w="4903"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1236"/>
        <w:gridCol w:w="1132"/>
        <w:gridCol w:w="1209"/>
        <w:gridCol w:w="1159"/>
        <w:gridCol w:w="1886"/>
      </w:tblGrid>
      <w:tr w:rsidR="00DA77FC" w:rsidRPr="008675CA" w14:paraId="41F1B31F" w14:textId="77777777" w:rsidTr="008F330F">
        <w:trPr>
          <w:trHeight w:val="242"/>
          <w:tblHeader/>
        </w:trPr>
        <w:tc>
          <w:tcPr>
            <w:tcW w:w="1566" w:type="pct"/>
            <w:vMerge w:val="restart"/>
            <w:shd w:val="clear" w:color="auto" w:fill="BFBFBF" w:themeFill="background1" w:themeFillShade="BF"/>
            <w:vAlign w:val="center"/>
          </w:tcPr>
          <w:p w14:paraId="0C1984E4" w14:textId="77777777" w:rsidR="00DA77FC" w:rsidRPr="008675CA" w:rsidRDefault="00DA77FC" w:rsidP="003D4573">
            <w:pPr>
              <w:spacing w:after="0" w:line="240" w:lineRule="auto"/>
              <w:rPr>
                <w:rFonts w:asciiTheme="majorHAnsi" w:eastAsia="Times New Roman" w:hAnsiTheme="majorHAnsi" w:cs="Calibri"/>
                <w:b/>
                <w:bCs/>
              </w:rPr>
            </w:pPr>
            <w:r w:rsidRPr="008675CA">
              <w:rPr>
                <w:rFonts w:asciiTheme="majorHAnsi" w:eastAsia="Times New Roman" w:hAnsiTheme="majorHAnsi" w:cs="Calibri"/>
                <w:b/>
                <w:bCs/>
              </w:rPr>
              <w:t>Particulars</w:t>
            </w:r>
          </w:p>
        </w:tc>
        <w:tc>
          <w:tcPr>
            <w:tcW w:w="3434" w:type="pct"/>
            <w:gridSpan w:val="5"/>
            <w:shd w:val="clear" w:color="auto" w:fill="auto"/>
          </w:tcPr>
          <w:p w14:paraId="4A0BCE2F" w14:textId="77777777" w:rsidR="00DA77FC" w:rsidRPr="008675CA" w:rsidRDefault="00DA77FC" w:rsidP="00935FB0">
            <w:pPr>
              <w:spacing w:after="0" w:line="240" w:lineRule="auto"/>
              <w:jc w:val="center"/>
              <w:rPr>
                <w:rFonts w:asciiTheme="majorHAnsi" w:hAnsiTheme="majorHAnsi"/>
                <w:b/>
              </w:rPr>
            </w:pPr>
            <w:r w:rsidRPr="008675CA">
              <w:rPr>
                <w:rFonts w:asciiTheme="majorHAnsi" w:hAnsiTheme="majorHAnsi"/>
                <w:b/>
              </w:rPr>
              <w:t xml:space="preserve">FY </w:t>
            </w:r>
            <w:r w:rsidR="00935FB0" w:rsidRPr="008675CA">
              <w:rPr>
                <w:rFonts w:asciiTheme="majorHAnsi" w:hAnsiTheme="majorHAnsi"/>
                <w:b/>
              </w:rPr>
              <w:t>2020-21 (Rs. in</w:t>
            </w:r>
            <w:r w:rsidRPr="008675CA">
              <w:rPr>
                <w:rFonts w:asciiTheme="majorHAnsi" w:hAnsiTheme="majorHAnsi"/>
                <w:b/>
              </w:rPr>
              <w:t xml:space="preserve"> CRORE)</w:t>
            </w:r>
          </w:p>
        </w:tc>
      </w:tr>
      <w:tr w:rsidR="00DA77FC" w:rsidRPr="008675CA" w14:paraId="6DA971F8" w14:textId="77777777" w:rsidTr="008F330F">
        <w:trPr>
          <w:trHeight w:val="149"/>
          <w:tblHeader/>
        </w:trPr>
        <w:tc>
          <w:tcPr>
            <w:tcW w:w="1566" w:type="pct"/>
            <w:vMerge/>
            <w:shd w:val="clear" w:color="auto" w:fill="BFBFBF" w:themeFill="background1" w:themeFillShade="BF"/>
            <w:vAlign w:val="center"/>
            <w:hideMark/>
          </w:tcPr>
          <w:p w14:paraId="70718220" w14:textId="77777777" w:rsidR="00DA77FC" w:rsidRPr="008675CA" w:rsidRDefault="00DA77FC" w:rsidP="003D4573">
            <w:pPr>
              <w:spacing w:after="0" w:line="240" w:lineRule="auto"/>
              <w:jc w:val="both"/>
              <w:rPr>
                <w:rFonts w:asciiTheme="majorHAnsi" w:eastAsia="Times New Roman" w:hAnsiTheme="majorHAnsi" w:cs="Calibri"/>
                <w:b/>
                <w:bCs/>
              </w:rPr>
            </w:pPr>
          </w:p>
        </w:tc>
        <w:tc>
          <w:tcPr>
            <w:tcW w:w="641" w:type="pct"/>
            <w:shd w:val="clear" w:color="auto" w:fill="BFBFBF" w:themeFill="background1" w:themeFillShade="BF"/>
            <w:hideMark/>
          </w:tcPr>
          <w:p w14:paraId="4D9A0BF9" w14:textId="77777777" w:rsidR="00DA77FC" w:rsidRPr="008675CA" w:rsidRDefault="00DA77FC"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MePGCL as a whole</w:t>
            </w:r>
          </w:p>
          <w:p w14:paraId="29CA1D29" w14:textId="77777777" w:rsidR="00DA77FC" w:rsidRPr="008675CA" w:rsidRDefault="00DA77FC"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(a)</w:t>
            </w:r>
          </w:p>
        </w:tc>
        <w:tc>
          <w:tcPr>
            <w:tcW w:w="587" w:type="pct"/>
            <w:shd w:val="clear" w:color="auto" w:fill="BFBFBF" w:themeFill="background1" w:themeFillShade="BF"/>
            <w:hideMark/>
          </w:tcPr>
          <w:p w14:paraId="49CD6F3B" w14:textId="77777777" w:rsidR="00DA77FC" w:rsidRPr="008675CA" w:rsidRDefault="00DA77FC"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MLHEP</w:t>
            </w:r>
          </w:p>
          <w:p w14:paraId="69311342" w14:textId="77777777" w:rsidR="00DA77FC" w:rsidRPr="008675CA" w:rsidRDefault="00DA77FC"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(b)</w:t>
            </w:r>
          </w:p>
        </w:tc>
        <w:tc>
          <w:tcPr>
            <w:tcW w:w="627" w:type="pct"/>
            <w:shd w:val="clear" w:color="auto" w:fill="BFBFBF" w:themeFill="background1" w:themeFillShade="BF"/>
          </w:tcPr>
          <w:p w14:paraId="1ABCA93D" w14:textId="77777777" w:rsidR="00DA77FC" w:rsidRPr="008675CA" w:rsidRDefault="00DA77FC"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NUHEP</w:t>
            </w:r>
          </w:p>
          <w:p w14:paraId="52B54FF7" w14:textId="77777777" w:rsidR="00DA77FC" w:rsidRPr="008675CA" w:rsidRDefault="00DA77FC"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(c)</w:t>
            </w:r>
          </w:p>
        </w:tc>
        <w:tc>
          <w:tcPr>
            <w:tcW w:w="601" w:type="pct"/>
            <w:shd w:val="clear" w:color="auto" w:fill="BFBFBF" w:themeFill="background1" w:themeFillShade="BF"/>
          </w:tcPr>
          <w:p w14:paraId="10C9A986" w14:textId="77777777" w:rsidR="00DA77FC" w:rsidRPr="008675CA" w:rsidRDefault="00DA77FC"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Lakroh MHP (d)</w:t>
            </w:r>
          </w:p>
        </w:tc>
        <w:tc>
          <w:tcPr>
            <w:tcW w:w="978" w:type="pct"/>
            <w:shd w:val="clear" w:color="auto" w:fill="BFBFBF" w:themeFill="background1" w:themeFillShade="BF"/>
            <w:hideMark/>
          </w:tcPr>
          <w:p w14:paraId="237937A6" w14:textId="77777777" w:rsidR="00DA77FC" w:rsidRPr="008675CA" w:rsidRDefault="00DA77FC"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MePGCL old plants (including Sonapani)</w:t>
            </w:r>
          </w:p>
          <w:p w14:paraId="7C589718" w14:textId="75D44D90" w:rsidR="00DA77FC" w:rsidRPr="008675CA" w:rsidRDefault="00DA77FC" w:rsidP="00E61C51">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w:t>
            </w:r>
            <w:r w:rsidR="00E61C51">
              <w:rPr>
                <w:rFonts w:asciiTheme="majorHAnsi" w:eastAsia="Times New Roman" w:hAnsiTheme="majorHAnsi" w:cs="Calibri"/>
                <w:b/>
                <w:bCs/>
              </w:rPr>
              <w:t>e</w:t>
            </w:r>
            <w:r w:rsidRPr="008675CA">
              <w:rPr>
                <w:rFonts w:asciiTheme="majorHAnsi" w:eastAsia="Times New Roman" w:hAnsiTheme="majorHAnsi" w:cs="Calibri"/>
                <w:b/>
                <w:bCs/>
              </w:rPr>
              <w:t>=a-(b+c+d))</w:t>
            </w:r>
          </w:p>
        </w:tc>
      </w:tr>
      <w:tr w:rsidR="00DA77FC" w:rsidRPr="008675CA" w14:paraId="097FF6D4" w14:textId="77777777" w:rsidTr="008F330F">
        <w:trPr>
          <w:trHeight w:val="293"/>
        </w:trPr>
        <w:tc>
          <w:tcPr>
            <w:tcW w:w="1566" w:type="pct"/>
            <w:shd w:val="clear" w:color="auto" w:fill="auto"/>
            <w:noWrap/>
            <w:vAlign w:val="bottom"/>
            <w:hideMark/>
          </w:tcPr>
          <w:p w14:paraId="188639D9" w14:textId="77777777" w:rsidR="00DA77FC" w:rsidRPr="008675CA" w:rsidRDefault="00DA77FC" w:rsidP="003D4573">
            <w:pPr>
              <w:spacing w:after="0" w:line="240" w:lineRule="auto"/>
              <w:jc w:val="both"/>
              <w:rPr>
                <w:rFonts w:asciiTheme="majorHAnsi" w:eastAsia="Times New Roman" w:hAnsiTheme="majorHAnsi" w:cs="Calibri"/>
              </w:rPr>
            </w:pPr>
            <w:r w:rsidRPr="008675CA">
              <w:rPr>
                <w:rFonts w:asciiTheme="majorHAnsi" w:eastAsia="Times New Roman" w:hAnsiTheme="majorHAnsi" w:cs="Calibri"/>
              </w:rPr>
              <w:t>Opening GFA</w:t>
            </w:r>
          </w:p>
        </w:tc>
        <w:tc>
          <w:tcPr>
            <w:tcW w:w="641" w:type="pct"/>
            <w:shd w:val="clear" w:color="auto" w:fill="auto"/>
            <w:noWrap/>
            <w:vAlign w:val="center"/>
            <w:hideMark/>
          </w:tcPr>
          <w:p w14:paraId="7065EBF5" w14:textId="77777777" w:rsidR="00DA77FC" w:rsidRPr="008675CA" w:rsidRDefault="00935FB0"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2343.62</w:t>
            </w:r>
          </w:p>
        </w:tc>
        <w:tc>
          <w:tcPr>
            <w:tcW w:w="587" w:type="pct"/>
            <w:shd w:val="clear" w:color="auto" w:fill="auto"/>
            <w:noWrap/>
            <w:vAlign w:val="center"/>
            <w:hideMark/>
          </w:tcPr>
          <w:p w14:paraId="111A03B4" w14:textId="77777777" w:rsidR="00DA77FC" w:rsidRPr="008675CA" w:rsidRDefault="00935FB0"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1285.52</w:t>
            </w:r>
          </w:p>
        </w:tc>
        <w:tc>
          <w:tcPr>
            <w:tcW w:w="627" w:type="pct"/>
          </w:tcPr>
          <w:p w14:paraId="2E0CC0DF" w14:textId="77777777" w:rsidR="00DA77FC" w:rsidRPr="008675CA" w:rsidRDefault="00935FB0"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604.13</w:t>
            </w:r>
          </w:p>
        </w:tc>
        <w:tc>
          <w:tcPr>
            <w:tcW w:w="601" w:type="pct"/>
          </w:tcPr>
          <w:p w14:paraId="3A4FF27E" w14:textId="77777777" w:rsidR="00DA77FC" w:rsidRPr="008675CA" w:rsidRDefault="00935FB0"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24.35</w:t>
            </w:r>
          </w:p>
        </w:tc>
        <w:tc>
          <w:tcPr>
            <w:tcW w:w="978" w:type="pct"/>
            <w:shd w:val="clear" w:color="auto" w:fill="auto"/>
            <w:noWrap/>
            <w:vAlign w:val="center"/>
          </w:tcPr>
          <w:p w14:paraId="2816B08E" w14:textId="77777777" w:rsidR="00DA77FC" w:rsidRPr="008675CA" w:rsidRDefault="00935FB0"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429.62</w:t>
            </w:r>
          </w:p>
        </w:tc>
      </w:tr>
      <w:tr w:rsidR="00DA77FC" w:rsidRPr="008675CA" w14:paraId="3B9572A5" w14:textId="77777777" w:rsidTr="008F330F">
        <w:trPr>
          <w:trHeight w:val="293"/>
        </w:trPr>
        <w:tc>
          <w:tcPr>
            <w:tcW w:w="1566" w:type="pct"/>
            <w:shd w:val="clear" w:color="auto" w:fill="auto"/>
            <w:noWrap/>
            <w:vAlign w:val="bottom"/>
            <w:hideMark/>
          </w:tcPr>
          <w:p w14:paraId="0D2CE22F" w14:textId="77777777" w:rsidR="00DA77FC" w:rsidRPr="008675CA" w:rsidRDefault="00DA77FC" w:rsidP="003D4573">
            <w:pPr>
              <w:spacing w:after="0" w:line="240" w:lineRule="auto"/>
              <w:jc w:val="both"/>
              <w:rPr>
                <w:rFonts w:asciiTheme="majorHAnsi" w:eastAsia="Times New Roman" w:hAnsiTheme="majorHAnsi" w:cs="Calibri"/>
              </w:rPr>
            </w:pPr>
            <w:r w:rsidRPr="008675CA">
              <w:rPr>
                <w:rFonts w:asciiTheme="majorHAnsi" w:eastAsia="Times New Roman" w:hAnsiTheme="majorHAnsi" w:cs="Calibri"/>
              </w:rPr>
              <w:t>Additions during the year</w:t>
            </w:r>
          </w:p>
        </w:tc>
        <w:tc>
          <w:tcPr>
            <w:tcW w:w="641" w:type="pct"/>
            <w:shd w:val="clear" w:color="auto" w:fill="auto"/>
            <w:noWrap/>
            <w:vAlign w:val="center"/>
            <w:hideMark/>
          </w:tcPr>
          <w:p w14:paraId="0DEDDD46" w14:textId="77777777" w:rsidR="00DA77FC" w:rsidRPr="008675CA" w:rsidRDefault="005C1B71"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2.69</w:t>
            </w:r>
          </w:p>
        </w:tc>
        <w:tc>
          <w:tcPr>
            <w:tcW w:w="587" w:type="pct"/>
            <w:shd w:val="clear" w:color="auto" w:fill="auto"/>
            <w:noWrap/>
            <w:vAlign w:val="center"/>
            <w:hideMark/>
          </w:tcPr>
          <w:p w14:paraId="794E82BE" w14:textId="77777777" w:rsidR="00DA77FC" w:rsidRPr="008675CA" w:rsidRDefault="00DA77FC"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w:t>
            </w:r>
          </w:p>
        </w:tc>
        <w:tc>
          <w:tcPr>
            <w:tcW w:w="627" w:type="pct"/>
          </w:tcPr>
          <w:p w14:paraId="53FABBB1" w14:textId="77777777" w:rsidR="00DA77FC" w:rsidRPr="008675CA" w:rsidRDefault="005C1B71"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1.25</w:t>
            </w:r>
          </w:p>
        </w:tc>
        <w:tc>
          <w:tcPr>
            <w:tcW w:w="601" w:type="pct"/>
          </w:tcPr>
          <w:p w14:paraId="54FF5B21" w14:textId="77777777" w:rsidR="00DA77FC" w:rsidRPr="008675CA" w:rsidRDefault="005C1B71"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1.36</w:t>
            </w:r>
          </w:p>
        </w:tc>
        <w:tc>
          <w:tcPr>
            <w:tcW w:w="978" w:type="pct"/>
            <w:shd w:val="clear" w:color="auto" w:fill="auto"/>
            <w:noWrap/>
            <w:vAlign w:val="center"/>
          </w:tcPr>
          <w:p w14:paraId="6357D50E" w14:textId="77777777" w:rsidR="00DA77FC" w:rsidRPr="008675CA" w:rsidRDefault="00DA77FC" w:rsidP="003D4573">
            <w:pPr>
              <w:spacing w:after="0" w:line="240" w:lineRule="auto"/>
              <w:jc w:val="center"/>
              <w:rPr>
                <w:rFonts w:asciiTheme="majorHAnsi" w:eastAsia="Times New Roman" w:hAnsiTheme="majorHAnsi" w:cs="Calibri"/>
              </w:rPr>
            </w:pPr>
          </w:p>
        </w:tc>
      </w:tr>
      <w:tr w:rsidR="00DA77FC" w:rsidRPr="008675CA" w14:paraId="7B51FCAF" w14:textId="77777777" w:rsidTr="008F330F">
        <w:trPr>
          <w:trHeight w:val="293"/>
        </w:trPr>
        <w:tc>
          <w:tcPr>
            <w:tcW w:w="1566" w:type="pct"/>
            <w:shd w:val="clear" w:color="auto" w:fill="auto"/>
            <w:noWrap/>
            <w:vAlign w:val="bottom"/>
            <w:hideMark/>
          </w:tcPr>
          <w:p w14:paraId="6F5C07BE" w14:textId="77777777" w:rsidR="00DA77FC" w:rsidRPr="008675CA" w:rsidRDefault="00DA77FC" w:rsidP="003D4573">
            <w:pPr>
              <w:spacing w:after="0" w:line="240" w:lineRule="auto"/>
              <w:jc w:val="both"/>
              <w:rPr>
                <w:rFonts w:asciiTheme="majorHAnsi" w:eastAsia="Times New Roman" w:hAnsiTheme="majorHAnsi" w:cs="Calibri"/>
              </w:rPr>
            </w:pPr>
            <w:r w:rsidRPr="008675CA">
              <w:rPr>
                <w:rFonts w:asciiTheme="majorHAnsi" w:eastAsia="Times New Roman" w:hAnsiTheme="majorHAnsi" w:cs="Calibri"/>
              </w:rPr>
              <w:t>Retirements during the year</w:t>
            </w:r>
          </w:p>
        </w:tc>
        <w:tc>
          <w:tcPr>
            <w:tcW w:w="641" w:type="pct"/>
            <w:shd w:val="clear" w:color="auto" w:fill="auto"/>
            <w:noWrap/>
            <w:vAlign w:val="center"/>
            <w:hideMark/>
          </w:tcPr>
          <w:p w14:paraId="38A20221" w14:textId="77777777" w:rsidR="00DA77FC" w:rsidRPr="008675CA" w:rsidRDefault="005C1B71"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w:t>
            </w:r>
          </w:p>
        </w:tc>
        <w:tc>
          <w:tcPr>
            <w:tcW w:w="587" w:type="pct"/>
            <w:shd w:val="clear" w:color="auto" w:fill="auto"/>
            <w:noWrap/>
            <w:vAlign w:val="center"/>
            <w:hideMark/>
          </w:tcPr>
          <w:p w14:paraId="3A387A70" w14:textId="77777777" w:rsidR="00DA77FC" w:rsidRPr="008675CA" w:rsidRDefault="00DA77FC"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w:t>
            </w:r>
          </w:p>
        </w:tc>
        <w:tc>
          <w:tcPr>
            <w:tcW w:w="627" w:type="pct"/>
          </w:tcPr>
          <w:p w14:paraId="23BDFB59" w14:textId="77777777" w:rsidR="00DA77FC" w:rsidRPr="008675CA" w:rsidRDefault="00DA77FC"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w:t>
            </w:r>
          </w:p>
        </w:tc>
        <w:tc>
          <w:tcPr>
            <w:tcW w:w="601" w:type="pct"/>
          </w:tcPr>
          <w:p w14:paraId="4A6044F2" w14:textId="77777777" w:rsidR="00DA77FC" w:rsidRPr="008675CA" w:rsidRDefault="00DA77FC" w:rsidP="003D4573">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w:t>
            </w:r>
          </w:p>
        </w:tc>
        <w:tc>
          <w:tcPr>
            <w:tcW w:w="978" w:type="pct"/>
            <w:shd w:val="clear" w:color="auto" w:fill="auto"/>
            <w:noWrap/>
            <w:vAlign w:val="center"/>
          </w:tcPr>
          <w:p w14:paraId="6A41D9EB" w14:textId="77777777" w:rsidR="00DA77FC" w:rsidRPr="008675CA" w:rsidRDefault="00DA77FC" w:rsidP="003D4573">
            <w:pPr>
              <w:spacing w:after="0" w:line="240" w:lineRule="auto"/>
              <w:jc w:val="center"/>
              <w:rPr>
                <w:rFonts w:asciiTheme="majorHAnsi" w:eastAsia="Times New Roman" w:hAnsiTheme="majorHAnsi" w:cs="Calibri"/>
              </w:rPr>
            </w:pPr>
          </w:p>
        </w:tc>
      </w:tr>
      <w:tr w:rsidR="00DA77FC" w:rsidRPr="008675CA" w14:paraId="05DDE495" w14:textId="77777777" w:rsidTr="008F330F">
        <w:trPr>
          <w:trHeight w:val="293"/>
        </w:trPr>
        <w:tc>
          <w:tcPr>
            <w:tcW w:w="1566" w:type="pct"/>
            <w:shd w:val="clear" w:color="auto" w:fill="auto"/>
            <w:noWrap/>
            <w:vAlign w:val="bottom"/>
            <w:hideMark/>
          </w:tcPr>
          <w:p w14:paraId="1357D07F" w14:textId="77777777" w:rsidR="00DA77FC" w:rsidRPr="008675CA" w:rsidRDefault="00DA77FC" w:rsidP="003D4573">
            <w:pPr>
              <w:spacing w:after="0" w:line="240" w:lineRule="auto"/>
              <w:jc w:val="both"/>
              <w:rPr>
                <w:rFonts w:asciiTheme="majorHAnsi" w:eastAsia="Times New Roman" w:hAnsiTheme="majorHAnsi" w:cs="Calibri"/>
                <w:b/>
                <w:bCs/>
              </w:rPr>
            </w:pPr>
            <w:r w:rsidRPr="008675CA">
              <w:rPr>
                <w:rFonts w:asciiTheme="majorHAnsi" w:eastAsia="Times New Roman" w:hAnsiTheme="majorHAnsi" w:cs="Calibri"/>
                <w:b/>
                <w:bCs/>
              </w:rPr>
              <w:t>Closing GFA</w:t>
            </w:r>
          </w:p>
        </w:tc>
        <w:tc>
          <w:tcPr>
            <w:tcW w:w="641" w:type="pct"/>
            <w:shd w:val="clear" w:color="auto" w:fill="auto"/>
            <w:noWrap/>
            <w:vAlign w:val="center"/>
            <w:hideMark/>
          </w:tcPr>
          <w:p w14:paraId="2AE6429F" w14:textId="77777777" w:rsidR="00DA77FC" w:rsidRPr="008675CA" w:rsidRDefault="00935FB0"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2346</w:t>
            </w:r>
            <w:r w:rsidR="005C1B71" w:rsidRPr="008675CA">
              <w:rPr>
                <w:rFonts w:asciiTheme="majorHAnsi" w:eastAsia="Times New Roman" w:hAnsiTheme="majorHAnsi" w:cs="Calibri"/>
                <w:b/>
                <w:bCs/>
              </w:rPr>
              <w:t>.31</w:t>
            </w:r>
          </w:p>
        </w:tc>
        <w:tc>
          <w:tcPr>
            <w:tcW w:w="587" w:type="pct"/>
            <w:shd w:val="clear" w:color="auto" w:fill="auto"/>
            <w:noWrap/>
            <w:vAlign w:val="center"/>
            <w:hideMark/>
          </w:tcPr>
          <w:p w14:paraId="5E96A739" w14:textId="77777777" w:rsidR="00DA77FC" w:rsidRPr="008675CA" w:rsidRDefault="005C1B71" w:rsidP="003D4573">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1285.52</w:t>
            </w:r>
          </w:p>
        </w:tc>
        <w:tc>
          <w:tcPr>
            <w:tcW w:w="627" w:type="pct"/>
          </w:tcPr>
          <w:p w14:paraId="549A3143" w14:textId="77777777" w:rsidR="00DA77FC" w:rsidRPr="008675CA" w:rsidRDefault="005C1B71" w:rsidP="003D4573">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605.38</w:t>
            </w:r>
          </w:p>
        </w:tc>
        <w:tc>
          <w:tcPr>
            <w:tcW w:w="601" w:type="pct"/>
          </w:tcPr>
          <w:p w14:paraId="3A60C556" w14:textId="77777777" w:rsidR="00DA77FC" w:rsidRPr="008675CA" w:rsidRDefault="005C1B71" w:rsidP="003D4573">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25.72</w:t>
            </w:r>
          </w:p>
        </w:tc>
        <w:tc>
          <w:tcPr>
            <w:tcW w:w="978" w:type="pct"/>
            <w:shd w:val="clear" w:color="auto" w:fill="auto"/>
            <w:noWrap/>
            <w:vAlign w:val="center"/>
          </w:tcPr>
          <w:p w14:paraId="2D7F4098" w14:textId="77777777" w:rsidR="00DA77FC" w:rsidRPr="008675CA" w:rsidRDefault="005C1B71" w:rsidP="003D4573">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429.69</w:t>
            </w:r>
          </w:p>
        </w:tc>
      </w:tr>
      <w:tr w:rsidR="00DA77FC" w:rsidRPr="008675CA" w14:paraId="03FAE3E6" w14:textId="77777777" w:rsidTr="008F330F">
        <w:trPr>
          <w:trHeight w:val="293"/>
        </w:trPr>
        <w:tc>
          <w:tcPr>
            <w:tcW w:w="1566" w:type="pct"/>
            <w:shd w:val="clear" w:color="auto" w:fill="auto"/>
            <w:noWrap/>
            <w:vAlign w:val="bottom"/>
          </w:tcPr>
          <w:p w14:paraId="2C96E80B" w14:textId="77777777" w:rsidR="00DA77FC" w:rsidRPr="008675CA" w:rsidRDefault="00DA77FC" w:rsidP="003D4573">
            <w:pPr>
              <w:spacing w:after="0" w:line="240" w:lineRule="auto"/>
              <w:jc w:val="both"/>
              <w:rPr>
                <w:rFonts w:asciiTheme="majorHAnsi" w:eastAsia="Times New Roman" w:hAnsiTheme="majorHAnsi" w:cs="Calibri"/>
                <w:b/>
                <w:bCs/>
              </w:rPr>
            </w:pPr>
            <w:r w:rsidRPr="008675CA">
              <w:rPr>
                <w:rFonts w:asciiTheme="majorHAnsi" w:eastAsia="Times New Roman" w:hAnsiTheme="majorHAnsi" w:cs="Calibri"/>
                <w:b/>
                <w:bCs/>
              </w:rPr>
              <w:t>Average GFA</w:t>
            </w:r>
          </w:p>
        </w:tc>
        <w:tc>
          <w:tcPr>
            <w:tcW w:w="641" w:type="pct"/>
            <w:shd w:val="clear" w:color="auto" w:fill="auto"/>
            <w:noWrap/>
          </w:tcPr>
          <w:p w14:paraId="3450C583" w14:textId="77777777" w:rsidR="00DA77FC" w:rsidRPr="008675CA" w:rsidRDefault="005C1B71"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2344.96</w:t>
            </w:r>
          </w:p>
        </w:tc>
        <w:tc>
          <w:tcPr>
            <w:tcW w:w="587" w:type="pct"/>
            <w:shd w:val="clear" w:color="auto" w:fill="auto"/>
            <w:noWrap/>
          </w:tcPr>
          <w:p w14:paraId="19B6126D" w14:textId="77777777" w:rsidR="00DA77FC" w:rsidRPr="008675CA" w:rsidRDefault="005C1B71"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1285.52</w:t>
            </w:r>
          </w:p>
        </w:tc>
        <w:tc>
          <w:tcPr>
            <w:tcW w:w="627" w:type="pct"/>
          </w:tcPr>
          <w:p w14:paraId="78ED9F49" w14:textId="77777777" w:rsidR="00DA77FC" w:rsidRPr="008675CA" w:rsidRDefault="005C1B71"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601.33</w:t>
            </w:r>
          </w:p>
        </w:tc>
        <w:tc>
          <w:tcPr>
            <w:tcW w:w="601" w:type="pct"/>
          </w:tcPr>
          <w:p w14:paraId="4F049C7E" w14:textId="77777777" w:rsidR="00DA77FC" w:rsidRPr="008675CA" w:rsidRDefault="005C1B71"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25.03</w:t>
            </w:r>
          </w:p>
        </w:tc>
        <w:tc>
          <w:tcPr>
            <w:tcW w:w="978" w:type="pct"/>
            <w:shd w:val="clear" w:color="auto" w:fill="auto"/>
            <w:noWrap/>
          </w:tcPr>
          <w:p w14:paraId="7EF47A0B" w14:textId="77777777" w:rsidR="00DA77FC" w:rsidRPr="008675CA" w:rsidRDefault="005C1B71" w:rsidP="003D4573">
            <w:pPr>
              <w:spacing w:after="0" w:line="240" w:lineRule="auto"/>
              <w:jc w:val="center"/>
              <w:rPr>
                <w:rFonts w:asciiTheme="majorHAnsi" w:eastAsia="Times New Roman" w:hAnsiTheme="majorHAnsi" w:cs="Calibri"/>
                <w:b/>
                <w:bCs/>
              </w:rPr>
            </w:pPr>
            <w:r w:rsidRPr="008675CA">
              <w:rPr>
                <w:rFonts w:asciiTheme="majorHAnsi" w:eastAsia="Times New Roman" w:hAnsiTheme="majorHAnsi" w:cs="Calibri"/>
                <w:b/>
                <w:bCs/>
              </w:rPr>
              <w:t>429.65</w:t>
            </w:r>
          </w:p>
        </w:tc>
      </w:tr>
    </w:tbl>
    <w:p w14:paraId="4B1C890C" w14:textId="77777777" w:rsidR="002A3B3D" w:rsidRPr="002A3B3D" w:rsidRDefault="002A3B3D" w:rsidP="008F330F">
      <w:pPr>
        <w:pStyle w:val="ListParagraph"/>
        <w:ind w:left="426"/>
        <w:jc w:val="both"/>
        <w:rPr>
          <w:rFonts w:asciiTheme="majorHAnsi" w:hAnsiTheme="majorHAnsi"/>
          <w:sz w:val="18"/>
          <w:szCs w:val="22"/>
        </w:rPr>
      </w:pPr>
    </w:p>
    <w:p w14:paraId="4B05913F" w14:textId="77777777" w:rsidR="00DA77FC" w:rsidRPr="008675CA" w:rsidRDefault="00DA77FC" w:rsidP="008F330F">
      <w:pPr>
        <w:pStyle w:val="ListParagraph"/>
        <w:ind w:left="426"/>
        <w:jc w:val="both"/>
        <w:rPr>
          <w:rFonts w:asciiTheme="majorHAnsi" w:hAnsiTheme="majorHAnsi"/>
          <w:b/>
          <w:szCs w:val="22"/>
        </w:rPr>
      </w:pPr>
      <w:r w:rsidRPr="008675CA">
        <w:rPr>
          <w:rFonts w:asciiTheme="majorHAnsi" w:hAnsiTheme="majorHAnsi"/>
          <w:szCs w:val="22"/>
        </w:rPr>
        <w:t xml:space="preserve">As can be observed from the table above, the average asset base for old plants (including Sonapani) is </w:t>
      </w:r>
      <w:r w:rsidR="005C1B71" w:rsidRPr="008675CA">
        <w:rPr>
          <w:rFonts w:asciiTheme="majorHAnsi" w:hAnsiTheme="majorHAnsi"/>
          <w:szCs w:val="22"/>
        </w:rPr>
        <w:t xml:space="preserve">Rs.429.65 </w:t>
      </w:r>
      <w:r w:rsidRPr="008675CA">
        <w:rPr>
          <w:rFonts w:asciiTheme="majorHAnsi" w:hAnsiTheme="majorHAnsi"/>
          <w:szCs w:val="22"/>
        </w:rPr>
        <w:t>Cr as per audited Statement of Accounts (SoA). But, as the Hon’ble</w:t>
      </w:r>
      <w:r w:rsidR="004A2B0D">
        <w:rPr>
          <w:rFonts w:asciiTheme="majorHAnsi" w:hAnsiTheme="majorHAnsi"/>
          <w:szCs w:val="22"/>
        </w:rPr>
        <w:t xml:space="preserve"> Commission has approved just </w:t>
      </w:r>
      <w:r w:rsidRPr="008675CA">
        <w:rPr>
          <w:rFonts w:asciiTheme="majorHAnsi" w:hAnsiTheme="majorHAnsi"/>
          <w:szCs w:val="22"/>
        </w:rPr>
        <w:t>R</w:t>
      </w:r>
      <w:r w:rsidR="004A2B0D">
        <w:rPr>
          <w:rFonts w:asciiTheme="majorHAnsi" w:hAnsiTheme="majorHAnsi"/>
          <w:szCs w:val="22"/>
        </w:rPr>
        <w:t>s.</w:t>
      </w:r>
      <w:r w:rsidRPr="008675CA">
        <w:rPr>
          <w:rFonts w:asciiTheme="majorHAnsi" w:hAnsiTheme="majorHAnsi"/>
          <w:szCs w:val="22"/>
        </w:rPr>
        <w:t xml:space="preserve"> 51.</w:t>
      </w:r>
      <w:r w:rsidR="005C1B71" w:rsidRPr="008675CA">
        <w:rPr>
          <w:rFonts w:asciiTheme="majorHAnsi" w:hAnsiTheme="majorHAnsi"/>
          <w:szCs w:val="22"/>
        </w:rPr>
        <w:t xml:space="preserve">42 </w:t>
      </w:r>
      <w:r w:rsidRPr="008675CA">
        <w:rPr>
          <w:rFonts w:asciiTheme="majorHAnsi" w:hAnsiTheme="majorHAnsi"/>
          <w:szCs w:val="22"/>
        </w:rPr>
        <w:t xml:space="preserve">Cr. as the asset base of old plants, </w:t>
      </w:r>
      <w:r w:rsidRPr="008675CA">
        <w:rPr>
          <w:rFonts w:asciiTheme="majorHAnsi" w:hAnsiTheme="majorHAnsi"/>
          <w:b/>
          <w:szCs w:val="22"/>
        </w:rPr>
        <w:t>this has led to significant under recovery of various components of ARR such as RoE, depreciation, O&amp;M.</w:t>
      </w:r>
      <w:r w:rsidR="005C1B71" w:rsidRPr="008675CA">
        <w:rPr>
          <w:rFonts w:asciiTheme="majorHAnsi" w:hAnsiTheme="majorHAnsi"/>
          <w:b/>
          <w:szCs w:val="22"/>
        </w:rPr>
        <w:t xml:space="preserve"> MePGCL request the Hon’ble Commission to kindly review the GFA of old stations</w:t>
      </w:r>
    </w:p>
    <w:p w14:paraId="2FA1FB8C" w14:textId="77777777" w:rsidR="00DA77FC" w:rsidRPr="008675CA" w:rsidRDefault="00372DCD" w:rsidP="00044907">
      <w:pPr>
        <w:pStyle w:val="head2"/>
        <w:ind w:left="142" w:firstLine="0"/>
        <w:rPr>
          <w:rFonts w:asciiTheme="majorHAnsi" w:hAnsiTheme="majorHAnsi"/>
        </w:rPr>
      </w:pPr>
      <w:bookmarkStart w:id="54" w:name="_Toc102318569"/>
      <w:r w:rsidRPr="008675CA">
        <w:rPr>
          <w:rFonts w:asciiTheme="majorHAnsi" w:hAnsiTheme="majorHAnsi"/>
        </w:rPr>
        <w:t>2</w:t>
      </w:r>
      <w:r w:rsidR="00DA77FC" w:rsidRPr="008675CA">
        <w:rPr>
          <w:rFonts w:asciiTheme="majorHAnsi" w:hAnsiTheme="majorHAnsi"/>
        </w:rPr>
        <w:t>.5.2. Depreciation.</w:t>
      </w:r>
      <w:bookmarkEnd w:id="54"/>
    </w:p>
    <w:p w14:paraId="743C05A5" w14:textId="77777777" w:rsidR="00DA77FC" w:rsidRPr="008675CA" w:rsidRDefault="00DA77FC" w:rsidP="008F330F">
      <w:pPr>
        <w:spacing w:after="0"/>
        <w:ind w:left="426"/>
        <w:jc w:val="both"/>
        <w:rPr>
          <w:rFonts w:asciiTheme="majorHAnsi" w:hAnsiTheme="majorHAnsi"/>
        </w:rPr>
      </w:pPr>
      <w:r w:rsidRPr="008675CA">
        <w:rPr>
          <w:rFonts w:asciiTheme="majorHAnsi" w:hAnsiTheme="majorHAnsi"/>
        </w:rPr>
        <w:t>The H</w:t>
      </w:r>
      <w:r w:rsidR="001A0FFB" w:rsidRPr="008675CA">
        <w:rPr>
          <w:rFonts w:asciiTheme="majorHAnsi" w:hAnsiTheme="majorHAnsi"/>
        </w:rPr>
        <w:t xml:space="preserve">on’ble Commission has approved </w:t>
      </w:r>
      <w:r w:rsidRPr="008675CA">
        <w:rPr>
          <w:rFonts w:asciiTheme="majorHAnsi" w:hAnsiTheme="majorHAnsi"/>
        </w:rPr>
        <w:t>R</w:t>
      </w:r>
      <w:r w:rsidR="001A0FFB" w:rsidRPr="008675CA">
        <w:rPr>
          <w:rFonts w:asciiTheme="majorHAnsi" w:hAnsiTheme="majorHAnsi"/>
        </w:rPr>
        <w:t>s.</w:t>
      </w:r>
      <w:r w:rsidRPr="008675CA">
        <w:rPr>
          <w:rFonts w:asciiTheme="majorHAnsi" w:hAnsiTheme="majorHAnsi"/>
        </w:rPr>
        <w:t xml:space="preserve"> 2.3</w:t>
      </w:r>
      <w:r w:rsidR="00044907" w:rsidRPr="008675CA">
        <w:rPr>
          <w:rFonts w:asciiTheme="majorHAnsi" w:hAnsiTheme="majorHAnsi"/>
        </w:rPr>
        <w:t>3</w:t>
      </w:r>
      <w:r w:rsidRPr="008675CA">
        <w:rPr>
          <w:rFonts w:asciiTheme="majorHAnsi" w:hAnsiTheme="majorHAnsi"/>
        </w:rPr>
        <w:t xml:space="preserve"> Cr. for depreciation in true up order for FY </w:t>
      </w:r>
      <w:r w:rsidR="001A0FFB" w:rsidRPr="008675CA">
        <w:rPr>
          <w:rFonts w:asciiTheme="majorHAnsi" w:hAnsiTheme="majorHAnsi"/>
        </w:rPr>
        <w:t>2020-21</w:t>
      </w:r>
      <w:r w:rsidRPr="008675CA">
        <w:rPr>
          <w:rFonts w:asciiTheme="majorHAnsi" w:hAnsiTheme="majorHAnsi"/>
        </w:rPr>
        <w:t>. The methodology used by the Hon’ble Commission for depreciation computation is not in line with MSERC (Multi Year Tariff) Regulations, 2014. Moreover, there are errors in calculation as well as in the methodology used by the Hon’ble Commission, which are submitted below:</w:t>
      </w:r>
    </w:p>
    <w:p w14:paraId="5C625C93" w14:textId="77777777" w:rsidR="00DA77FC" w:rsidRPr="008675CA" w:rsidRDefault="00DA77FC" w:rsidP="008F330F">
      <w:pPr>
        <w:pStyle w:val="ListParagraph"/>
        <w:numPr>
          <w:ilvl w:val="0"/>
          <w:numId w:val="43"/>
        </w:numPr>
        <w:ind w:left="851"/>
        <w:jc w:val="both"/>
        <w:rPr>
          <w:rFonts w:asciiTheme="majorHAnsi" w:hAnsiTheme="majorHAnsi"/>
          <w:szCs w:val="22"/>
        </w:rPr>
      </w:pPr>
      <w:r w:rsidRPr="008675CA">
        <w:rPr>
          <w:rFonts w:asciiTheme="majorHAnsi" w:hAnsiTheme="majorHAnsi"/>
          <w:szCs w:val="22"/>
        </w:rPr>
        <w:t xml:space="preserve">The Hon’ble Commission has rejected the claim of the company for total asset value as per Statement of Accounts (SoA) of MePGCL for </w:t>
      </w:r>
      <w:r w:rsidR="001A0FFB" w:rsidRPr="008675CA">
        <w:rPr>
          <w:rFonts w:asciiTheme="majorHAnsi" w:hAnsiTheme="majorHAnsi"/>
          <w:szCs w:val="22"/>
        </w:rPr>
        <w:t>Rs. 2346.31 Cr.</w:t>
      </w:r>
      <w:r w:rsidRPr="008675CA">
        <w:rPr>
          <w:rFonts w:asciiTheme="majorHAnsi" w:hAnsiTheme="majorHAnsi"/>
          <w:szCs w:val="22"/>
        </w:rPr>
        <w:t xml:space="preserve"> as on 31</w:t>
      </w:r>
      <w:r w:rsidRPr="008675CA">
        <w:rPr>
          <w:rFonts w:asciiTheme="majorHAnsi" w:hAnsiTheme="majorHAnsi"/>
          <w:szCs w:val="22"/>
          <w:vertAlign w:val="superscript"/>
        </w:rPr>
        <w:t>st</w:t>
      </w:r>
      <w:r w:rsidR="001A0FFB" w:rsidRPr="008675CA">
        <w:rPr>
          <w:rFonts w:asciiTheme="majorHAnsi" w:hAnsiTheme="majorHAnsi"/>
          <w:szCs w:val="22"/>
        </w:rPr>
        <w:t xml:space="preserve"> March, 2021</w:t>
      </w:r>
      <w:r w:rsidRPr="008675CA">
        <w:rPr>
          <w:rFonts w:asciiTheme="majorHAnsi" w:hAnsiTheme="majorHAnsi"/>
          <w:szCs w:val="22"/>
        </w:rPr>
        <w:t>. It has considered only the DPR cost of Umiam Stage-4 and Sonapani and R&amp;M of Umiam Stage-II, for considering th</w:t>
      </w:r>
      <w:r w:rsidR="001A0FFB" w:rsidRPr="008675CA">
        <w:rPr>
          <w:rFonts w:asciiTheme="majorHAnsi" w:hAnsiTheme="majorHAnsi"/>
          <w:szCs w:val="22"/>
        </w:rPr>
        <w:t xml:space="preserve">e asset base of old plants at </w:t>
      </w:r>
      <w:r w:rsidRPr="008675CA">
        <w:rPr>
          <w:rFonts w:asciiTheme="majorHAnsi" w:hAnsiTheme="majorHAnsi"/>
          <w:szCs w:val="22"/>
        </w:rPr>
        <w:t>R</w:t>
      </w:r>
      <w:r w:rsidR="001A0FFB" w:rsidRPr="008675CA">
        <w:rPr>
          <w:rFonts w:asciiTheme="majorHAnsi" w:hAnsiTheme="majorHAnsi"/>
          <w:szCs w:val="22"/>
        </w:rPr>
        <w:t>s.</w:t>
      </w:r>
      <w:r w:rsidRPr="008675CA">
        <w:rPr>
          <w:rFonts w:asciiTheme="majorHAnsi" w:hAnsiTheme="majorHAnsi"/>
          <w:szCs w:val="22"/>
        </w:rPr>
        <w:t xml:space="preserve"> 51.</w:t>
      </w:r>
      <w:r w:rsidR="001A0FFB" w:rsidRPr="008675CA">
        <w:rPr>
          <w:rFonts w:asciiTheme="majorHAnsi" w:hAnsiTheme="majorHAnsi"/>
          <w:szCs w:val="22"/>
        </w:rPr>
        <w:t>42</w:t>
      </w:r>
      <w:r w:rsidRPr="008675CA">
        <w:rPr>
          <w:rFonts w:asciiTheme="majorHAnsi" w:hAnsiTheme="majorHAnsi"/>
          <w:szCs w:val="22"/>
        </w:rPr>
        <w:t xml:space="preserve"> Cr for FY 2019-20. It also has considered grants to further reduce the asset base of MePGCL. </w:t>
      </w:r>
    </w:p>
    <w:p w14:paraId="44864B5E" w14:textId="77777777" w:rsidR="00DA77FC" w:rsidRPr="008675CA" w:rsidRDefault="00DA77FC" w:rsidP="00DA77FC">
      <w:pPr>
        <w:pStyle w:val="ListParagraph"/>
        <w:ind w:left="567"/>
        <w:jc w:val="both"/>
        <w:rPr>
          <w:rFonts w:asciiTheme="majorHAnsi" w:hAnsiTheme="majorHAnsi"/>
          <w:szCs w:val="22"/>
        </w:rPr>
      </w:pPr>
    </w:p>
    <w:p w14:paraId="6F06386D" w14:textId="5FCABBDA" w:rsidR="001A0FFB" w:rsidRPr="008675CA" w:rsidRDefault="001A0FFB" w:rsidP="001A0FFB">
      <w:pPr>
        <w:pStyle w:val="ListParagraph"/>
        <w:numPr>
          <w:ilvl w:val="0"/>
          <w:numId w:val="43"/>
        </w:numPr>
        <w:ind w:left="851"/>
        <w:jc w:val="both"/>
        <w:rPr>
          <w:rFonts w:asciiTheme="majorHAnsi" w:hAnsiTheme="majorHAnsi"/>
          <w:szCs w:val="22"/>
        </w:rPr>
      </w:pPr>
      <w:r w:rsidRPr="008675CA">
        <w:rPr>
          <w:rFonts w:asciiTheme="majorHAnsi" w:hAnsiTheme="majorHAnsi"/>
          <w:szCs w:val="22"/>
        </w:rPr>
        <w:t>The grant amount for FY 2020-21 as per SoA amounting to Rs. 2.14 crore is for PSDF and DRIP. The works under DRIP are for MLHEP also and not only for old stations. Therefore, alloca</w:t>
      </w:r>
      <w:r w:rsidR="0059338B" w:rsidRPr="008675CA">
        <w:rPr>
          <w:rFonts w:asciiTheme="majorHAnsi" w:hAnsiTheme="majorHAnsi"/>
          <w:szCs w:val="22"/>
        </w:rPr>
        <w:t>tion of</w:t>
      </w:r>
      <w:r w:rsidR="002A3B3D">
        <w:rPr>
          <w:rFonts w:asciiTheme="majorHAnsi" w:hAnsiTheme="majorHAnsi"/>
          <w:szCs w:val="22"/>
        </w:rPr>
        <w:t xml:space="preserve"> whole</w:t>
      </w:r>
      <w:r w:rsidR="0059338B" w:rsidRPr="008675CA">
        <w:rPr>
          <w:rFonts w:asciiTheme="majorHAnsi" w:hAnsiTheme="majorHAnsi"/>
          <w:szCs w:val="22"/>
        </w:rPr>
        <w:t xml:space="preserve"> grant amount of Rs. 2.24</w:t>
      </w:r>
      <w:r w:rsidRPr="008675CA">
        <w:rPr>
          <w:rFonts w:asciiTheme="majorHAnsi" w:hAnsiTheme="majorHAnsi"/>
          <w:szCs w:val="22"/>
        </w:rPr>
        <w:t xml:space="preserve"> Cr. to old stations is not correct. </w:t>
      </w:r>
    </w:p>
    <w:p w14:paraId="5CAFA149" w14:textId="77777777" w:rsidR="001A0FFB" w:rsidRPr="008675CA" w:rsidRDefault="001A0FFB" w:rsidP="001A0FFB">
      <w:pPr>
        <w:pStyle w:val="ListParagraph"/>
        <w:rPr>
          <w:rFonts w:asciiTheme="majorHAnsi" w:hAnsiTheme="majorHAnsi"/>
          <w:szCs w:val="22"/>
        </w:rPr>
      </w:pPr>
    </w:p>
    <w:p w14:paraId="58CB58BE" w14:textId="77777777" w:rsidR="00DA77FC" w:rsidRPr="008675CA" w:rsidRDefault="00DA77FC" w:rsidP="008F330F">
      <w:pPr>
        <w:pStyle w:val="ListParagraph"/>
        <w:numPr>
          <w:ilvl w:val="0"/>
          <w:numId w:val="43"/>
        </w:numPr>
        <w:ind w:left="851"/>
        <w:jc w:val="both"/>
        <w:rPr>
          <w:rFonts w:asciiTheme="majorHAnsi" w:hAnsiTheme="majorHAnsi"/>
          <w:szCs w:val="22"/>
        </w:rPr>
      </w:pPr>
      <w:r w:rsidRPr="008675CA">
        <w:rPr>
          <w:rFonts w:asciiTheme="majorHAnsi" w:hAnsiTheme="majorHAnsi"/>
          <w:szCs w:val="22"/>
        </w:rPr>
        <w:t>Depreciation has been calculated by applying the depreciation rates on 100% of GFA, while the claim is made up to 90% of the asset, leaving 10% as salvage value. However, the depreciation computed by the Hon’ble Commission is on 90% of asset value.</w:t>
      </w:r>
    </w:p>
    <w:p w14:paraId="0C184818" w14:textId="77777777" w:rsidR="00DA77FC" w:rsidRPr="008675CA" w:rsidRDefault="00DA77FC" w:rsidP="00DA77FC">
      <w:pPr>
        <w:pStyle w:val="ListParagraph"/>
        <w:ind w:left="567"/>
        <w:jc w:val="both"/>
        <w:rPr>
          <w:rFonts w:asciiTheme="majorHAnsi" w:hAnsiTheme="majorHAnsi"/>
          <w:szCs w:val="22"/>
        </w:rPr>
      </w:pPr>
    </w:p>
    <w:p w14:paraId="1A9276BF" w14:textId="77777777" w:rsidR="00DA77FC" w:rsidRPr="008675CA" w:rsidRDefault="00DA77FC" w:rsidP="008F330F">
      <w:pPr>
        <w:spacing w:after="0"/>
        <w:ind w:left="284"/>
        <w:jc w:val="both"/>
        <w:rPr>
          <w:rFonts w:asciiTheme="majorHAnsi" w:hAnsiTheme="majorHAnsi"/>
        </w:rPr>
      </w:pPr>
      <w:r w:rsidRPr="008675CA">
        <w:rPr>
          <w:rFonts w:asciiTheme="majorHAnsi" w:hAnsiTheme="majorHAnsi"/>
        </w:rPr>
        <w:t>On account of the incorrect methodology and flaws inherent in it and based on the asset value requested to be considered above, MePGCL prays before the Hon’ble Commission to kindly allow the depreciation as claimed in true up petition.</w:t>
      </w:r>
    </w:p>
    <w:p w14:paraId="7FE22F6F" w14:textId="77777777" w:rsidR="00DA77FC" w:rsidRDefault="00DA77FC" w:rsidP="00DA77FC">
      <w:pPr>
        <w:spacing w:after="0"/>
        <w:ind w:left="360"/>
        <w:jc w:val="both"/>
        <w:rPr>
          <w:rFonts w:asciiTheme="majorHAnsi" w:hAnsiTheme="majorHAnsi"/>
          <w:sz w:val="16"/>
        </w:rPr>
      </w:pPr>
    </w:p>
    <w:p w14:paraId="2342C26B" w14:textId="73343CA8" w:rsidR="00DA77FC" w:rsidRPr="008675CA" w:rsidRDefault="00DA77FC" w:rsidP="00DA77FC">
      <w:pPr>
        <w:pStyle w:val="Caption"/>
        <w:keepNext/>
        <w:spacing w:after="0"/>
        <w:ind w:left="360"/>
        <w:jc w:val="center"/>
        <w:rPr>
          <w:rFonts w:asciiTheme="majorHAnsi" w:hAnsiTheme="majorHAnsi"/>
          <w:b/>
          <w:i w:val="0"/>
          <w:color w:val="auto"/>
          <w:sz w:val="22"/>
          <w:szCs w:val="22"/>
        </w:rPr>
      </w:pPr>
      <w:r w:rsidRPr="008675CA">
        <w:rPr>
          <w:rFonts w:asciiTheme="majorHAnsi" w:hAnsiTheme="majorHAnsi"/>
          <w:b/>
          <w:i w:val="0"/>
          <w:color w:val="auto"/>
          <w:sz w:val="22"/>
          <w:szCs w:val="22"/>
        </w:rPr>
        <w:t xml:space="preserve">Table </w:t>
      </w:r>
      <w:r w:rsidR="002A3B3D">
        <w:rPr>
          <w:rFonts w:asciiTheme="majorHAnsi" w:hAnsiTheme="majorHAnsi"/>
          <w:b/>
          <w:i w:val="0"/>
          <w:color w:val="auto"/>
          <w:sz w:val="22"/>
          <w:szCs w:val="22"/>
        </w:rPr>
        <w:t>20</w:t>
      </w:r>
      <w:r w:rsidRPr="008675CA">
        <w:rPr>
          <w:rFonts w:asciiTheme="majorHAnsi" w:hAnsiTheme="majorHAnsi"/>
          <w:b/>
          <w:i w:val="0"/>
          <w:color w:val="auto"/>
          <w:sz w:val="22"/>
          <w:szCs w:val="22"/>
        </w:rPr>
        <w:t>: Additional Depreciation Claim of MePGCL in Review (INR Cr.)</w:t>
      </w:r>
    </w:p>
    <w:tbl>
      <w:tblPr>
        <w:tblStyle w:val="TableGrid"/>
        <w:tblW w:w="4630" w:type="pct"/>
        <w:tblInd w:w="355" w:type="dxa"/>
        <w:tblLook w:val="04A0" w:firstRow="1" w:lastRow="0" w:firstColumn="1" w:lastColumn="0" w:noHBand="0" w:noVBand="1"/>
      </w:tblPr>
      <w:tblGrid>
        <w:gridCol w:w="6951"/>
        <w:gridCol w:w="2154"/>
      </w:tblGrid>
      <w:tr w:rsidR="00044907" w:rsidRPr="008675CA" w14:paraId="3C1D8C01" w14:textId="77777777" w:rsidTr="00044907">
        <w:trPr>
          <w:trHeight w:val="308"/>
          <w:tblHeader/>
        </w:trPr>
        <w:tc>
          <w:tcPr>
            <w:tcW w:w="3817" w:type="pct"/>
            <w:shd w:val="clear" w:color="auto" w:fill="BFBFBF" w:themeFill="background1" w:themeFillShade="BF"/>
          </w:tcPr>
          <w:p w14:paraId="5329378B" w14:textId="77777777" w:rsidR="00044907" w:rsidRPr="008675CA" w:rsidRDefault="00044907" w:rsidP="003D4573">
            <w:pPr>
              <w:pStyle w:val="ListParagraph"/>
              <w:ind w:left="0"/>
              <w:jc w:val="both"/>
              <w:rPr>
                <w:rFonts w:asciiTheme="majorHAnsi" w:hAnsiTheme="majorHAnsi"/>
                <w:b/>
                <w:szCs w:val="22"/>
              </w:rPr>
            </w:pPr>
            <w:r w:rsidRPr="008675CA">
              <w:rPr>
                <w:rFonts w:asciiTheme="majorHAnsi" w:hAnsiTheme="majorHAnsi"/>
                <w:b/>
                <w:szCs w:val="22"/>
              </w:rPr>
              <w:t>Particulars</w:t>
            </w:r>
          </w:p>
        </w:tc>
        <w:tc>
          <w:tcPr>
            <w:tcW w:w="1183" w:type="pct"/>
            <w:shd w:val="clear" w:color="auto" w:fill="BFBFBF" w:themeFill="background1" w:themeFillShade="BF"/>
          </w:tcPr>
          <w:p w14:paraId="6F44C3EF" w14:textId="77777777" w:rsidR="00044907" w:rsidRPr="008675CA" w:rsidRDefault="00044907" w:rsidP="00AF57C2">
            <w:pPr>
              <w:pStyle w:val="ListParagraph"/>
              <w:ind w:left="0"/>
              <w:jc w:val="center"/>
              <w:rPr>
                <w:rFonts w:asciiTheme="majorHAnsi" w:hAnsiTheme="majorHAnsi"/>
                <w:b/>
                <w:szCs w:val="22"/>
              </w:rPr>
            </w:pPr>
            <w:r w:rsidRPr="008675CA">
              <w:rPr>
                <w:rFonts w:asciiTheme="majorHAnsi" w:hAnsiTheme="majorHAnsi"/>
                <w:b/>
                <w:szCs w:val="22"/>
              </w:rPr>
              <w:t xml:space="preserve">FY </w:t>
            </w:r>
            <w:r w:rsidR="00AF57C2" w:rsidRPr="008675CA">
              <w:rPr>
                <w:rFonts w:asciiTheme="majorHAnsi" w:hAnsiTheme="majorHAnsi"/>
                <w:b/>
                <w:szCs w:val="22"/>
              </w:rPr>
              <w:t>2020-21</w:t>
            </w:r>
          </w:p>
        </w:tc>
      </w:tr>
      <w:tr w:rsidR="00044907" w:rsidRPr="008675CA" w14:paraId="1C9539CC" w14:textId="77777777" w:rsidTr="00044907">
        <w:trPr>
          <w:trHeight w:val="308"/>
        </w:trPr>
        <w:tc>
          <w:tcPr>
            <w:tcW w:w="3817" w:type="pct"/>
          </w:tcPr>
          <w:p w14:paraId="5490D6A8" w14:textId="77777777" w:rsidR="00044907" w:rsidRPr="008675CA" w:rsidRDefault="00044907" w:rsidP="003D4573">
            <w:pPr>
              <w:pStyle w:val="ListParagraph"/>
              <w:ind w:left="0"/>
              <w:jc w:val="both"/>
              <w:rPr>
                <w:rFonts w:asciiTheme="majorHAnsi" w:hAnsiTheme="majorHAnsi"/>
                <w:szCs w:val="22"/>
              </w:rPr>
            </w:pPr>
            <w:r w:rsidRPr="008675CA">
              <w:rPr>
                <w:rFonts w:asciiTheme="majorHAnsi" w:hAnsiTheme="majorHAnsi"/>
                <w:szCs w:val="22"/>
              </w:rPr>
              <w:t>MePGCL’s Claim of Depreciation for old Plants (1)</w:t>
            </w:r>
          </w:p>
        </w:tc>
        <w:tc>
          <w:tcPr>
            <w:tcW w:w="1183" w:type="pct"/>
          </w:tcPr>
          <w:p w14:paraId="5387D222" w14:textId="77777777" w:rsidR="00044907" w:rsidRPr="008675CA" w:rsidRDefault="00AF57C2" w:rsidP="003D4573">
            <w:pPr>
              <w:pStyle w:val="Default"/>
              <w:jc w:val="center"/>
              <w:rPr>
                <w:rFonts w:asciiTheme="majorHAnsi" w:hAnsiTheme="majorHAnsi"/>
                <w:color w:val="auto"/>
                <w:sz w:val="22"/>
                <w:szCs w:val="22"/>
              </w:rPr>
            </w:pPr>
            <w:r w:rsidRPr="008675CA">
              <w:rPr>
                <w:rFonts w:asciiTheme="majorHAnsi" w:hAnsiTheme="majorHAnsi"/>
                <w:color w:val="auto"/>
                <w:sz w:val="22"/>
                <w:szCs w:val="22"/>
              </w:rPr>
              <w:t>15.14</w:t>
            </w:r>
          </w:p>
        </w:tc>
      </w:tr>
      <w:tr w:rsidR="00044907" w:rsidRPr="008675CA" w14:paraId="7AF6AA11" w14:textId="77777777" w:rsidTr="00044907">
        <w:trPr>
          <w:trHeight w:val="286"/>
        </w:trPr>
        <w:tc>
          <w:tcPr>
            <w:tcW w:w="3817" w:type="pct"/>
          </w:tcPr>
          <w:p w14:paraId="23D6F99D" w14:textId="77777777" w:rsidR="00044907" w:rsidRPr="008675CA" w:rsidRDefault="00044907" w:rsidP="003D4573">
            <w:pPr>
              <w:pStyle w:val="ListParagraph"/>
              <w:ind w:left="0"/>
              <w:jc w:val="both"/>
              <w:rPr>
                <w:rFonts w:asciiTheme="majorHAnsi" w:hAnsiTheme="majorHAnsi"/>
                <w:szCs w:val="22"/>
              </w:rPr>
            </w:pPr>
            <w:r w:rsidRPr="008675CA">
              <w:rPr>
                <w:rFonts w:asciiTheme="majorHAnsi" w:hAnsiTheme="majorHAnsi"/>
                <w:szCs w:val="22"/>
              </w:rPr>
              <w:t>Depreciation approved by MSERC  in the true up order (2)</w:t>
            </w:r>
          </w:p>
        </w:tc>
        <w:tc>
          <w:tcPr>
            <w:tcW w:w="1183" w:type="pct"/>
          </w:tcPr>
          <w:p w14:paraId="0932BFD9" w14:textId="77777777" w:rsidR="00044907" w:rsidRPr="008675CA" w:rsidRDefault="00044907" w:rsidP="003D4573">
            <w:pPr>
              <w:pStyle w:val="Default"/>
              <w:jc w:val="center"/>
              <w:rPr>
                <w:rFonts w:asciiTheme="majorHAnsi" w:hAnsiTheme="majorHAnsi"/>
                <w:color w:val="auto"/>
                <w:sz w:val="22"/>
                <w:szCs w:val="22"/>
              </w:rPr>
            </w:pPr>
            <w:r w:rsidRPr="008675CA">
              <w:rPr>
                <w:rFonts w:asciiTheme="majorHAnsi" w:hAnsiTheme="majorHAnsi"/>
                <w:color w:val="auto"/>
                <w:sz w:val="22"/>
                <w:szCs w:val="22"/>
              </w:rPr>
              <w:t>2.33</w:t>
            </w:r>
          </w:p>
        </w:tc>
      </w:tr>
      <w:tr w:rsidR="00044907" w:rsidRPr="008675CA" w14:paraId="262D93F6" w14:textId="77777777" w:rsidTr="00044907">
        <w:trPr>
          <w:trHeight w:val="286"/>
        </w:trPr>
        <w:tc>
          <w:tcPr>
            <w:tcW w:w="3817" w:type="pct"/>
          </w:tcPr>
          <w:p w14:paraId="63E73DE4" w14:textId="77777777" w:rsidR="00044907" w:rsidRPr="008675CA" w:rsidRDefault="00044907" w:rsidP="003D4573">
            <w:pPr>
              <w:pStyle w:val="ListParagraph"/>
              <w:ind w:left="0"/>
              <w:jc w:val="both"/>
              <w:rPr>
                <w:rFonts w:asciiTheme="majorHAnsi" w:hAnsiTheme="majorHAnsi"/>
                <w:b/>
                <w:szCs w:val="22"/>
              </w:rPr>
            </w:pPr>
            <w:r w:rsidRPr="008675CA">
              <w:rPr>
                <w:rFonts w:asciiTheme="majorHAnsi" w:hAnsiTheme="majorHAnsi"/>
                <w:b/>
                <w:szCs w:val="22"/>
              </w:rPr>
              <w:t>Gap to be passed in the review petition (1-2)</w:t>
            </w:r>
          </w:p>
        </w:tc>
        <w:tc>
          <w:tcPr>
            <w:tcW w:w="1183" w:type="pct"/>
          </w:tcPr>
          <w:p w14:paraId="393E4D70" w14:textId="77777777" w:rsidR="00044907" w:rsidRPr="008675CA" w:rsidRDefault="00AF57C2" w:rsidP="003D4573">
            <w:pPr>
              <w:pStyle w:val="Default"/>
              <w:jc w:val="center"/>
              <w:rPr>
                <w:rFonts w:asciiTheme="majorHAnsi" w:hAnsiTheme="majorHAnsi"/>
                <w:b/>
                <w:color w:val="auto"/>
                <w:sz w:val="22"/>
                <w:szCs w:val="22"/>
              </w:rPr>
            </w:pPr>
            <w:r w:rsidRPr="008675CA">
              <w:rPr>
                <w:rFonts w:asciiTheme="majorHAnsi" w:hAnsiTheme="majorHAnsi"/>
                <w:b/>
                <w:color w:val="auto"/>
                <w:sz w:val="22"/>
                <w:szCs w:val="22"/>
              </w:rPr>
              <w:t>12.81</w:t>
            </w:r>
          </w:p>
        </w:tc>
      </w:tr>
    </w:tbl>
    <w:p w14:paraId="3D9208C7" w14:textId="77777777" w:rsidR="00AF57C2" w:rsidRPr="008675CA" w:rsidRDefault="00AF57C2" w:rsidP="00AF57C2">
      <w:pPr>
        <w:pStyle w:val="head2"/>
        <w:spacing w:before="0" w:after="0"/>
        <w:ind w:left="426" w:firstLine="0"/>
        <w:rPr>
          <w:rFonts w:asciiTheme="majorHAnsi" w:hAnsiTheme="majorHAnsi"/>
        </w:rPr>
      </w:pPr>
      <w:bookmarkStart w:id="55" w:name="_Toc102318570"/>
      <w:r w:rsidRPr="008675CA">
        <w:rPr>
          <w:rFonts w:asciiTheme="majorHAnsi" w:hAnsiTheme="majorHAnsi"/>
        </w:rPr>
        <w:t>Hence MePGCL requests the Hon’ble Commission to kindly pass an additional amount Rs.12.81 Cr for FY 2020-21, for depreciation</w:t>
      </w:r>
    </w:p>
    <w:p w14:paraId="26678DEA" w14:textId="77777777" w:rsidR="00DA77FC" w:rsidRPr="008675CA" w:rsidRDefault="00372DCD" w:rsidP="00AF57C2">
      <w:pPr>
        <w:pStyle w:val="head2"/>
        <w:ind w:left="426"/>
        <w:rPr>
          <w:rFonts w:asciiTheme="majorHAnsi" w:hAnsiTheme="majorHAnsi"/>
        </w:rPr>
      </w:pPr>
      <w:r w:rsidRPr="008675CA">
        <w:rPr>
          <w:rFonts w:asciiTheme="majorHAnsi" w:hAnsiTheme="majorHAnsi"/>
        </w:rPr>
        <w:t>2</w:t>
      </w:r>
      <w:r w:rsidR="00DA77FC" w:rsidRPr="008675CA">
        <w:rPr>
          <w:rFonts w:asciiTheme="majorHAnsi" w:hAnsiTheme="majorHAnsi"/>
        </w:rPr>
        <w:t>.5.3. Return on Equity</w:t>
      </w:r>
      <w:bookmarkEnd w:id="55"/>
    </w:p>
    <w:p w14:paraId="6DBC18C1" w14:textId="77777777" w:rsidR="00DA77FC" w:rsidRPr="008675CA" w:rsidRDefault="00DA77FC" w:rsidP="008F330F">
      <w:pPr>
        <w:spacing w:after="0"/>
        <w:ind w:left="284"/>
        <w:jc w:val="both"/>
        <w:rPr>
          <w:rFonts w:asciiTheme="majorHAnsi" w:hAnsiTheme="majorHAnsi"/>
        </w:rPr>
      </w:pPr>
      <w:r w:rsidRPr="008675CA">
        <w:rPr>
          <w:rFonts w:asciiTheme="majorHAnsi" w:hAnsiTheme="majorHAnsi"/>
        </w:rPr>
        <w:t xml:space="preserve">The Hon’ble Commission has approved </w:t>
      </w:r>
      <w:r w:rsidR="00AF57C2" w:rsidRPr="008675CA">
        <w:rPr>
          <w:rFonts w:asciiTheme="majorHAnsi" w:hAnsiTheme="majorHAnsi"/>
        </w:rPr>
        <w:t>Rs.2.07</w:t>
      </w:r>
      <w:r w:rsidRPr="008675CA">
        <w:rPr>
          <w:rFonts w:asciiTheme="majorHAnsi" w:hAnsiTheme="majorHAnsi"/>
        </w:rPr>
        <w:t xml:space="preserve"> Cr for FY </w:t>
      </w:r>
      <w:r w:rsidR="00AF57C2" w:rsidRPr="008675CA">
        <w:rPr>
          <w:rFonts w:asciiTheme="majorHAnsi" w:hAnsiTheme="majorHAnsi"/>
        </w:rPr>
        <w:t>2020-21</w:t>
      </w:r>
      <w:r w:rsidRPr="008675CA">
        <w:rPr>
          <w:rFonts w:asciiTheme="majorHAnsi" w:hAnsiTheme="majorHAnsi"/>
        </w:rPr>
        <w:t xml:space="preserve">, for RoE in true up order. </w:t>
      </w:r>
    </w:p>
    <w:p w14:paraId="640EA0A4" w14:textId="77777777" w:rsidR="00DA77FC" w:rsidRPr="006517AE" w:rsidRDefault="00DA77FC" w:rsidP="00DA77FC">
      <w:pPr>
        <w:pStyle w:val="ListParagraph"/>
        <w:ind w:hanging="360"/>
        <w:jc w:val="both"/>
        <w:rPr>
          <w:rFonts w:asciiTheme="majorHAnsi" w:hAnsiTheme="majorHAnsi"/>
          <w:sz w:val="10"/>
          <w:szCs w:val="22"/>
        </w:rPr>
      </w:pPr>
    </w:p>
    <w:p w14:paraId="2035AF96" w14:textId="77777777" w:rsidR="00DA77FC" w:rsidRPr="008675CA" w:rsidRDefault="00DA77FC" w:rsidP="00044907">
      <w:pPr>
        <w:pStyle w:val="ListParagraph"/>
        <w:numPr>
          <w:ilvl w:val="0"/>
          <w:numId w:val="35"/>
        </w:numPr>
        <w:jc w:val="both"/>
        <w:rPr>
          <w:rFonts w:asciiTheme="majorHAnsi" w:hAnsiTheme="majorHAnsi"/>
          <w:szCs w:val="22"/>
        </w:rPr>
      </w:pPr>
      <w:r w:rsidRPr="008675CA">
        <w:rPr>
          <w:rFonts w:asciiTheme="majorHAnsi" w:hAnsiTheme="majorHAnsi"/>
          <w:szCs w:val="22"/>
        </w:rPr>
        <w:t xml:space="preserve">The whole of grant amount has been considered to be a part of GFA and subtracted while calculating the Net GFA without considering that grants can also be a part of  Capital Works In Progress (CWIP) </w:t>
      </w:r>
    </w:p>
    <w:p w14:paraId="469DD892" w14:textId="77777777" w:rsidR="00DA77FC" w:rsidRPr="006517AE" w:rsidRDefault="00DA77FC" w:rsidP="00DA77FC">
      <w:pPr>
        <w:pStyle w:val="ListParagraph"/>
        <w:ind w:hanging="360"/>
        <w:rPr>
          <w:rFonts w:asciiTheme="majorHAnsi" w:hAnsiTheme="majorHAnsi"/>
          <w:sz w:val="12"/>
          <w:szCs w:val="22"/>
        </w:rPr>
      </w:pPr>
    </w:p>
    <w:p w14:paraId="308A3307" w14:textId="77777777" w:rsidR="00DA77FC" w:rsidRPr="008675CA" w:rsidRDefault="00DA77FC" w:rsidP="00044907">
      <w:pPr>
        <w:pStyle w:val="ListParagraph"/>
        <w:numPr>
          <w:ilvl w:val="0"/>
          <w:numId w:val="35"/>
        </w:numPr>
        <w:jc w:val="both"/>
        <w:rPr>
          <w:rFonts w:asciiTheme="majorHAnsi" w:hAnsiTheme="majorHAnsi"/>
          <w:szCs w:val="22"/>
        </w:rPr>
      </w:pPr>
      <w:r w:rsidRPr="008675CA">
        <w:rPr>
          <w:rFonts w:asciiTheme="majorHAnsi" w:hAnsiTheme="majorHAnsi"/>
          <w:szCs w:val="22"/>
        </w:rPr>
        <w:t>The Hon’ble Commission has considered only the asset of Stage IV HEP and Sonapani</w:t>
      </w:r>
      <w:r w:rsidR="00AF57C2" w:rsidRPr="008675CA">
        <w:rPr>
          <w:rFonts w:asciiTheme="majorHAnsi" w:hAnsiTheme="majorHAnsi"/>
          <w:szCs w:val="22"/>
        </w:rPr>
        <w:t xml:space="preserve"> </w:t>
      </w:r>
      <w:r w:rsidRPr="008675CA">
        <w:rPr>
          <w:rFonts w:asciiTheme="majorHAnsi" w:hAnsiTheme="majorHAnsi"/>
          <w:szCs w:val="22"/>
        </w:rPr>
        <w:t xml:space="preserve">as capital cost for all </w:t>
      </w:r>
      <w:r w:rsidR="00AF57C2" w:rsidRPr="008675CA">
        <w:rPr>
          <w:rFonts w:asciiTheme="majorHAnsi" w:hAnsiTheme="majorHAnsi"/>
          <w:szCs w:val="22"/>
        </w:rPr>
        <w:t xml:space="preserve">old plants and approved GFA at </w:t>
      </w:r>
      <w:r w:rsidRPr="008675CA">
        <w:rPr>
          <w:rFonts w:asciiTheme="majorHAnsi" w:hAnsiTheme="majorHAnsi"/>
          <w:szCs w:val="22"/>
        </w:rPr>
        <w:t>R</w:t>
      </w:r>
      <w:r w:rsidR="00AF57C2" w:rsidRPr="008675CA">
        <w:rPr>
          <w:rFonts w:asciiTheme="majorHAnsi" w:hAnsiTheme="majorHAnsi"/>
          <w:szCs w:val="22"/>
        </w:rPr>
        <w:t>s.</w:t>
      </w:r>
      <w:r w:rsidRPr="008675CA">
        <w:rPr>
          <w:rFonts w:asciiTheme="majorHAnsi" w:hAnsiTheme="majorHAnsi"/>
          <w:szCs w:val="22"/>
        </w:rPr>
        <w:t xml:space="preserve"> 51.</w:t>
      </w:r>
      <w:r w:rsidR="00AF57C2" w:rsidRPr="008675CA">
        <w:rPr>
          <w:rFonts w:asciiTheme="majorHAnsi" w:hAnsiTheme="majorHAnsi"/>
          <w:szCs w:val="22"/>
        </w:rPr>
        <w:t>42</w:t>
      </w:r>
      <w:r w:rsidRPr="008675CA">
        <w:rPr>
          <w:rFonts w:asciiTheme="majorHAnsi" w:hAnsiTheme="majorHAnsi"/>
          <w:szCs w:val="22"/>
        </w:rPr>
        <w:t xml:space="preserve">Cr for FY </w:t>
      </w:r>
      <w:r w:rsidR="00AF57C2" w:rsidRPr="008675CA">
        <w:rPr>
          <w:rFonts w:asciiTheme="majorHAnsi" w:hAnsiTheme="majorHAnsi"/>
          <w:szCs w:val="22"/>
        </w:rPr>
        <w:t>2020-21</w:t>
      </w:r>
      <w:r w:rsidRPr="008675CA">
        <w:rPr>
          <w:rFonts w:asciiTheme="majorHAnsi" w:hAnsiTheme="majorHAnsi"/>
          <w:szCs w:val="22"/>
        </w:rPr>
        <w:t xml:space="preserve">. </w:t>
      </w:r>
    </w:p>
    <w:p w14:paraId="40D47327" w14:textId="77777777" w:rsidR="00DA77FC" w:rsidRPr="008675CA" w:rsidRDefault="00DA77FC" w:rsidP="00DA77FC">
      <w:pPr>
        <w:spacing w:after="0"/>
        <w:jc w:val="both"/>
        <w:rPr>
          <w:rFonts w:asciiTheme="majorHAnsi" w:hAnsiTheme="majorHAnsi"/>
        </w:rPr>
      </w:pPr>
    </w:p>
    <w:p w14:paraId="31527051" w14:textId="77777777" w:rsidR="00DA77FC" w:rsidRPr="008675CA" w:rsidRDefault="00DA77FC" w:rsidP="004A2B0D">
      <w:pPr>
        <w:spacing w:after="0"/>
        <w:ind w:left="360"/>
        <w:jc w:val="both"/>
        <w:rPr>
          <w:rFonts w:asciiTheme="majorHAnsi" w:hAnsiTheme="majorHAnsi"/>
        </w:rPr>
      </w:pPr>
      <w:r w:rsidRPr="008675CA">
        <w:rPr>
          <w:rFonts w:asciiTheme="majorHAnsi" w:hAnsiTheme="majorHAnsi"/>
          <w:b/>
        </w:rPr>
        <w:t>The issue of Return on Equity (methodology of MeECL</w:t>
      </w:r>
      <w:r w:rsidR="00AF57C2" w:rsidRPr="008675CA">
        <w:rPr>
          <w:rFonts w:asciiTheme="majorHAnsi" w:hAnsiTheme="majorHAnsi"/>
          <w:b/>
        </w:rPr>
        <w:t xml:space="preserve"> </w:t>
      </w:r>
      <w:r w:rsidRPr="008675CA">
        <w:rPr>
          <w:rFonts w:asciiTheme="majorHAnsi" w:hAnsiTheme="majorHAnsi"/>
          <w:b/>
        </w:rPr>
        <w:t>&amp; its subsidiaries vs methodology of MSERC: APTEL Case no 46 of 2016) is still subjudice</w:t>
      </w:r>
      <w:r w:rsidRPr="008675CA">
        <w:rPr>
          <w:rFonts w:asciiTheme="majorHAnsi" w:hAnsiTheme="majorHAnsi"/>
        </w:rPr>
        <w:t>. The corporation is reiterating the fact that the approved value of the Hon’ble Commission for Return on Equity is not in line with the Regulations. For the sake of brevity, MePGCL is not reiterating the grounds and the justification for the claim here since the matter is still subjudice.</w:t>
      </w:r>
    </w:p>
    <w:p w14:paraId="42ABA266" w14:textId="77777777" w:rsidR="00DA77FC" w:rsidRPr="008675CA" w:rsidRDefault="00DA77FC" w:rsidP="00DA77FC">
      <w:pPr>
        <w:spacing w:after="0"/>
        <w:jc w:val="both"/>
        <w:rPr>
          <w:rFonts w:asciiTheme="majorHAnsi" w:hAnsiTheme="majorHAnsi"/>
        </w:rPr>
      </w:pPr>
    </w:p>
    <w:p w14:paraId="4D820E20" w14:textId="77777777" w:rsidR="00DA77FC" w:rsidRPr="008675CA" w:rsidRDefault="00DA77FC" w:rsidP="004A2B0D">
      <w:pPr>
        <w:ind w:left="360"/>
        <w:jc w:val="both"/>
        <w:rPr>
          <w:rFonts w:asciiTheme="majorHAnsi" w:hAnsiTheme="majorHAnsi"/>
        </w:rPr>
      </w:pPr>
      <w:r w:rsidRPr="008675CA">
        <w:rPr>
          <w:rFonts w:asciiTheme="majorHAnsi" w:hAnsiTheme="majorHAnsi"/>
        </w:rPr>
        <w:t>Hence, based on the above, the additional claim of MePGCL for review in line with the claim in the true up petition is given below:</w:t>
      </w:r>
    </w:p>
    <w:p w14:paraId="1164D11F" w14:textId="674B0EA6" w:rsidR="00DA77FC" w:rsidRPr="008675CA" w:rsidRDefault="00DA77FC" w:rsidP="00DA77FC">
      <w:pPr>
        <w:pStyle w:val="Caption"/>
        <w:keepNext/>
        <w:spacing w:after="0"/>
        <w:ind w:left="360"/>
        <w:jc w:val="center"/>
        <w:rPr>
          <w:rFonts w:asciiTheme="majorHAnsi" w:hAnsiTheme="majorHAnsi"/>
          <w:b/>
          <w:i w:val="0"/>
          <w:color w:val="auto"/>
          <w:sz w:val="22"/>
          <w:szCs w:val="22"/>
        </w:rPr>
      </w:pPr>
      <w:r w:rsidRPr="008675CA">
        <w:rPr>
          <w:rFonts w:asciiTheme="majorHAnsi" w:hAnsiTheme="majorHAnsi"/>
          <w:b/>
          <w:i w:val="0"/>
          <w:color w:val="auto"/>
          <w:sz w:val="22"/>
          <w:szCs w:val="22"/>
        </w:rPr>
        <w:t xml:space="preserve">Table </w:t>
      </w:r>
      <w:r w:rsidR="00104302" w:rsidRPr="008675CA">
        <w:rPr>
          <w:rFonts w:asciiTheme="majorHAnsi" w:hAnsiTheme="majorHAnsi"/>
          <w:b/>
          <w:i w:val="0"/>
          <w:color w:val="auto"/>
          <w:sz w:val="22"/>
          <w:szCs w:val="22"/>
        </w:rPr>
        <w:t>2</w:t>
      </w:r>
      <w:r w:rsidR="002A3B3D">
        <w:rPr>
          <w:rFonts w:asciiTheme="majorHAnsi" w:hAnsiTheme="majorHAnsi"/>
          <w:b/>
          <w:i w:val="0"/>
          <w:color w:val="auto"/>
          <w:sz w:val="22"/>
          <w:szCs w:val="22"/>
        </w:rPr>
        <w:t>1</w:t>
      </w:r>
      <w:r w:rsidRPr="008675CA">
        <w:rPr>
          <w:rFonts w:asciiTheme="majorHAnsi" w:hAnsiTheme="majorHAnsi"/>
          <w:b/>
          <w:i w:val="0"/>
          <w:color w:val="auto"/>
          <w:sz w:val="22"/>
          <w:szCs w:val="22"/>
        </w:rPr>
        <w:t>: Additional R</w:t>
      </w:r>
      <w:r w:rsidR="00DA7BE6" w:rsidRPr="008675CA">
        <w:rPr>
          <w:rFonts w:asciiTheme="majorHAnsi" w:hAnsiTheme="majorHAnsi"/>
          <w:b/>
          <w:i w:val="0"/>
          <w:color w:val="auto"/>
          <w:sz w:val="22"/>
          <w:szCs w:val="22"/>
        </w:rPr>
        <w:t>oE Claim of MePGCL in Review (</w:t>
      </w:r>
      <w:r w:rsidRPr="008675CA">
        <w:rPr>
          <w:rFonts w:asciiTheme="majorHAnsi" w:hAnsiTheme="majorHAnsi"/>
          <w:b/>
          <w:i w:val="0"/>
          <w:color w:val="auto"/>
          <w:sz w:val="22"/>
          <w:szCs w:val="22"/>
        </w:rPr>
        <w:t>R</w:t>
      </w:r>
      <w:r w:rsidR="00DA7BE6" w:rsidRPr="008675CA">
        <w:rPr>
          <w:rFonts w:asciiTheme="majorHAnsi" w:hAnsiTheme="majorHAnsi"/>
          <w:b/>
          <w:i w:val="0"/>
          <w:color w:val="auto"/>
          <w:sz w:val="22"/>
          <w:szCs w:val="22"/>
        </w:rPr>
        <w:t>s.</w:t>
      </w:r>
      <w:r w:rsidRPr="008675CA">
        <w:rPr>
          <w:rFonts w:asciiTheme="majorHAnsi" w:hAnsiTheme="majorHAnsi"/>
          <w:b/>
          <w:i w:val="0"/>
          <w:color w:val="auto"/>
          <w:sz w:val="22"/>
          <w:szCs w:val="22"/>
        </w:rPr>
        <w:t xml:space="preserve"> Cr.)</w:t>
      </w:r>
    </w:p>
    <w:tbl>
      <w:tblPr>
        <w:tblStyle w:val="TableGrid"/>
        <w:tblW w:w="4367" w:type="pct"/>
        <w:tblInd w:w="355" w:type="dxa"/>
        <w:tblLook w:val="04A0" w:firstRow="1" w:lastRow="0" w:firstColumn="1" w:lastColumn="0" w:noHBand="0" w:noVBand="1"/>
      </w:tblPr>
      <w:tblGrid>
        <w:gridCol w:w="6783"/>
        <w:gridCol w:w="1805"/>
      </w:tblGrid>
      <w:tr w:rsidR="00044907" w:rsidRPr="008675CA" w14:paraId="2FD56786" w14:textId="77777777" w:rsidTr="00044907">
        <w:trPr>
          <w:trHeight w:val="272"/>
          <w:tblHeader/>
        </w:trPr>
        <w:tc>
          <w:tcPr>
            <w:tcW w:w="3949" w:type="pct"/>
            <w:shd w:val="clear" w:color="auto" w:fill="BFBFBF" w:themeFill="background1" w:themeFillShade="BF"/>
          </w:tcPr>
          <w:p w14:paraId="63B75086" w14:textId="77777777" w:rsidR="00044907" w:rsidRPr="008675CA" w:rsidRDefault="00044907" w:rsidP="003D4573">
            <w:pPr>
              <w:pStyle w:val="ListParagraph"/>
              <w:ind w:left="0"/>
              <w:jc w:val="both"/>
              <w:rPr>
                <w:rFonts w:asciiTheme="majorHAnsi" w:hAnsiTheme="majorHAnsi"/>
                <w:b/>
                <w:szCs w:val="22"/>
              </w:rPr>
            </w:pPr>
            <w:r w:rsidRPr="008675CA">
              <w:rPr>
                <w:rFonts w:asciiTheme="majorHAnsi" w:hAnsiTheme="majorHAnsi"/>
                <w:b/>
                <w:szCs w:val="22"/>
              </w:rPr>
              <w:t>Particulars</w:t>
            </w:r>
          </w:p>
        </w:tc>
        <w:tc>
          <w:tcPr>
            <w:tcW w:w="1051" w:type="pct"/>
            <w:shd w:val="clear" w:color="auto" w:fill="BFBFBF" w:themeFill="background1" w:themeFillShade="BF"/>
          </w:tcPr>
          <w:p w14:paraId="0A9922B6" w14:textId="77777777" w:rsidR="00044907" w:rsidRPr="008675CA" w:rsidRDefault="00044907" w:rsidP="00EF757D">
            <w:pPr>
              <w:pStyle w:val="ListParagraph"/>
              <w:ind w:left="0"/>
              <w:jc w:val="center"/>
              <w:rPr>
                <w:rFonts w:asciiTheme="majorHAnsi" w:hAnsiTheme="majorHAnsi"/>
                <w:b/>
                <w:szCs w:val="22"/>
              </w:rPr>
            </w:pPr>
            <w:r w:rsidRPr="008675CA">
              <w:rPr>
                <w:rFonts w:asciiTheme="majorHAnsi" w:hAnsiTheme="majorHAnsi"/>
                <w:b/>
                <w:szCs w:val="22"/>
              </w:rPr>
              <w:t xml:space="preserve">FY </w:t>
            </w:r>
            <w:r w:rsidR="00EF757D" w:rsidRPr="008675CA">
              <w:rPr>
                <w:rFonts w:asciiTheme="majorHAnsi" w:hAnsiTheme="majorHAnsi"/>
                <w:b/>
                <w:szCs w:val="22"/>
              </w:rPr>
              <w:t>2020-21</w:t>
            </w:r>
          </w:p>
        </w:tc>
      </w:tr>
      <w:tr w:rsidR="00044907" w:rsidRPr="008675CA" w14:paraId="6239F381" w14:textId="77777777" w:rsidTr="00044907">
        <w:trPr>
          <w:trHeight w:val="272"/>
        </w:trPr>
        <w:tc>
          <w:tcPr>
            <w:tcW w:w="3949" w:type="pct"/>
          </w:tcPr>
          <w:p w14:paraId="28F15D7E" w14:textId="77777777" w:rsidR="00044907" w:rsidRPr="008675CA" w:rsidRDefault="00044907" w:rsidP="003D4573">
            <w:pPr>
              <w:pStyle w:val="ListParagraph"/>
              <w:ind w:left="0"/>
              <w:jc w:val="both"/>
              <w:rPr>
                <w:rFonts w:asciiTheme="majorHAnsi" w:hAnsiTheme="majorHAnsi"/>
                <w:szCs w:val="22"/>
              </w:rPr>
            </w:pPr>
            <w:r w:rsidRPr="008675CA">
              <w:rPr>
                <w:rFonts w:asciiTheme="majorHAnsi" w:hAnsiTheme="majorHAnsi"/>
                <w:szCs w:val="22"/>
              </w:rPr>
              <w:t>MePGCL’s Claim of Return on Equity for Old Plants (1)</w:t>
            </w:r>
          </w:p>
        </w:tc>
        <w:tc>
          <w:tcPr>
            <w:tcW w:w="1051" w:type="pct"/>
          </w:tcPr>
          <w:p w14:paraId="4E9C6E22" w14:textId="77777777" w:rsidR="00044907" w:rsidRPr="008675CA" w:rsidRDefault="00EF757D" w:rsidP="003D4573">
            <w:pPr>
              <w:pStyle w:val="Default"/>
              <w:jc w:val="center"/>
              <w:rPr>
                <w:rFonts w:asciiTheme="majorHAnsi" w:hAnsiTheme="majorHAnsi"/>
                <w:color w:val="auto"/>
                <w:sz w:val="22"/>
                <w:szCs w:val="22"/>
              </w:rPr>
            </w:pPr>
            <w:r w:rsidRPr="008675CA">
              <w:rPr>
                <w:rFonts w:asciiTheme="majorHAnsi" w:hAnsiTheme="majorHAnsi"/>
                <w:color w:val="auto"/>
                <w:sz w:val="22"/>
                <w:szCs w:val="22"/>
              </w:rPr>
              <w:t>34.49</w:t>
            </w:r>
          </w:p>
        </w:tc>
      </w:tr>
      <w:tr w:rsidR="00044907" w:rsidRPr="008675CA" w14:paraId="1D1B5B2D" w14:textId="77777777" w:rsidTr="00044907">
        <w:trPr>
          <w:trHeight w:val="254"/>
        </w:trPr>
        <w:tc>
          <w:tcPr>
            <w:tcW w:w="3949" w:type="pct"/>
          </w:tcPr>
          <w:p w14:paraId="643F7DF1" w14:textId="77777777" w:rsidR="00044907" w:rsidRPr="008675CA" w:rsidRDefault="00044907" w:rsidP="003D4573">
            <w:pPr>
              <w:pStyle w:val="ListParagraph"/>
              <w:ind w:left="0"/>
              <w:jc w:val="both"/>
              <w:rPr>
                <w:rFonts w:asciiTheme="majorHAnsi" w:hAnsiTheme="majorHAnsi"/>
                <w:szCs w:val="22"/>
              </w:rPr>
            </w:pPr>
            <w:r w:rsidRPr="008675CA">
              <w:rPr>
                <w:rFonts w:asciiTheme="majorHAnsi" w:hAnsiTheme="majorHAnsi"/>
                <w:szCs w:val="22"/>
              </w:rPr>
              <w:t>Approved Return on Equity by MSERC  for old plants (2)</w:t>
            </w:r>
          </w:p>
        </w:tc>
        <w:tc>
          <w:tcPr>
            <w:tcW w:w="1051" w:type="pct"/>
          </w:tcPr>
          <w:p w14:paraId="72CF7DD5" w14:textId="77777777" w:rsidR="00044907" w:rsidRPr="008675CA" w:rsidRDefault="00EF757D" w:rsidP="003D4573">
            <w:pPr>
              <w:pStyle w:val="Default"/>
              <w:jc w:val="center"/>
              <w:rPr>
                <w:rFonts w:asciiTheme="majorHAnsi" w:hAnsiTheme="majorHAnsi"/>
                <w:color w:val="auto"/>
                <w:sz w:val="22"/>
                <w:szCs w:val="22"/>
              </w:rPr>
            </w:pPr>
            <w:r w:rsidRPr="008675CA">
              <w:rPr>
                <w:rFonts w:asciiTheme="majorHAnsi" w:hAnsiTheme="majorHAnsi"/>
                <w:color w:val="auto"/>
                <w:sz w:val="22"/>
                <w:szCs w:val="22"/>
              </w:rPr>
              <w:t>2.07</w:t>
            </w:r>
          </w:p>
        </w:tc>
      </w:tr>
      <w:tr w:rsidR="00044907" w:rsidRPr="008675CA" w14:paraId="051B4640" w14:textId="77777777" w:rsidTr="00044907">
        <w:trPr>
          <w:trHeight w:val="254"/>
        </w:trPr>
        <w:tc>
          <w:tcPr>
            <w:tcW w:w="3949" w:type="pct"/>
          </w:tcPr>
          <w:p w14:paraId="3D859E7F" w14:textId="77777777" w:rsidR="00044907" w:rsidRPr="008675CA" w:rsidRDefault="00044907" w:rsidP="003D4573">
            <w:pPr>
              <w:pStyle w:val="ListParagraph"/>
              <w:ind w:left="0"/>
              <w:jc w:val="both"/>
              <w:rPr>
                <w:rFonts w:asciiTheme="majorHAnsi" w:hAnsiTheme="majorHAnsi"/>
                <w:b/>
                <w:szCs w:val="22"/>
              </w:rPr>
            </w:pPr>
            <w:r w:rsidRPr="008675CA">
              <w:rPr>
                <w:rFonts w:asciiTheme="majorHAnsi" w:hAnsiTheme="majorHAnsi"/>
                <w:b/>
                <w:szCs w:val="22"/>
              </w:rPr>
              <w:t>Gap to be passed in the review petition (3-4)</w:t>
            </w:r>
          </w:p>
        </w:tc>
        <w:tc>
          <w:tcPr>
            <w:tcW w:w="1051" w:type="pct"/>
          </w:tcPr>
          <w:p w14:paraId="4A1E3D1C" w14:textId="77777777" w:rsidR="00044907" w:rsidRPr="008675CA" w:rsidRDefault="00EF757D" w:rsidP="003D4573">
            <w:pPr>
              <w:pStyle w:val="Default"/>
              <w:jc w:val="center"/>
              <w:rPr>
                <w:rFonts w:asciiTheme="majorHAnsi" w:hAnsiTheme="majorHAnsi"/>
                <w:b/>
                <w:color w:val="auto"/>
                <w:sz w:val="22"/>
                <w:szCs w:val="22"/>
              </w:rPr>
            </w:pPr>
            <w:r w:rsidRPr="008675CA">
              <w:rPr>
                <w:rFonts w:asciiTheme="majorHAnsi" w:hAnsiTheme="majorHAnsi"/>
                <w:b/>
                <w:color w:val="auto"/>
                <w:sz w:val="22"/>
                <w:szCs w:val="22"/>
              </w:rPr>
              <w:t>32.42</w:t>
            </w:r>
          </w:p>
        </w:tc>
      </w:tr>
    </w:tbl>
    <w:p w14:paraId="457DDA42" w14:textId="77777777" w:rsidR="002A3B3D" w:rsidRPr="006517AE" w:rsidRDefault="002A3B3D" w:rsidP="00DA77FC">
      <w:pPr>
        <w:spacing w:after="0"/>
        <w:jc w:val="both"/>
        <w:rPr>
          <w:rFonts w:asciiTheme="majorHAnsi" w:hAnsiTheme="majorHAnsi"/>
          <w:sz w:val="12"/>
        </w:rPr>
      </w:pPr>
    </w:p>
    <w:p w14:paraId="0262A805" w14:textId="77777777" w:rsidR="00DA77FC" w:rsidRPr="008675CA" w:rsidRDefault="00DA77FC" w:rsidP="00DA77FC">
      <w:pPr>
        <w:spacing w:after="0"/>
        <w:jc w:val="both"/>
        <w:rPr>
          <w:rFonts w:asciiTheme="majorHAnsi" w:hAnsiTheme="majorHAnsi"/>
        </w:rPr>
      </w:pPr>
      <w:r w:rsidRPr="008675CA">
        <w:rPr>
          <w:rFonts w:asciiTheme="majorHAnsi" w:hAnsiTheme="majorHAnsi"/>
        </w:rPr>
        <w:t>Hence MePGCL requests the Hon’ble Commission to kindly pass an additio</w:t>
      </w:r>
      <w:r w:rsidR="00EF757D" w:rsidRPr="008675CA">
        <w:rPr>
          <w:rFonts w:asciiTheme="majorHAnsi" w:hAnsiTheme="majorHAnsi"/>
        </w:rPr>
        <w:t xml:space="preserve">nal amount </w:t>
      </w:r>
      <w:r w:rsidRPr="008675CA">
        <w:rPr>
          <w:rFonts w:asciiTheme="majorHAnsi" w:hAnsiTheme="majorHAnsi"/>
        </w:rPr>
        <w:t>R</w:t>
      </w:r>
      <w:r w:rsidR="00EF757D" w:rsidRPr="008675CA">
        <w:rPr>
          <w:rFonts w:asciiTheme="majorHAnsi" w:hAnsiTheme="majorHAnsi"/>
        </w:rPr>
        <w:t>s.</w:t>
      </w:r>
      <w:r w:rsidRPr="008675CA">
        <w:rPr>
          <w:rFonts w:asciiTheme="majorHAnsi" w:hAnsiTheme="majorHAnsi"/>
        </w:rPr>
        <w:t xml:space="preserve"> </w:t>
      </w:r>
      <w:r w:rsidR="00EF757D" w:rsidRPr="008675CA">
        <w:rPr>
          <w:rFonts w:asciiTheme="majorHAnsi" w:hAnsiTheme="majorHAnsi"/>
        </w:rPr>
        <w:t>32.42</w:t>
      </w:r>
      <w:r w:rsidRPr="008675CA">
        <w:rPr>
          <w:rFonts w:asciiTheme="majorHAnsi" w:hAnsiTheme="majorHAnsi"/>
        </w:rPr>
        <w:t xml:space="preserve"> Cr for FY </w:t>
      </w:r>
      <w:r w:rsidR="00EF757D" w:rsidRPr="008675CA">
        <w:rPr>
          <w:rFonts w:asciiTheme="majorHAnsi" w:hAnsiTheme="majorHAnsi"/>
        </w:rPr>
        <w:t>2020-21</w:t>
      </w:r>
      <w:r w:rsidRPr="008675CA">
        <w:rPr>
          <w:rFonts w:asciiTheme="majorHAnsi" w:hAnsiTheme="majorHAnsi"/>
        </w:rPr>
        <w:t>, for ROE.</w:t>
      </w:r>
    </w:p>
    <w:p w14:paraId="1DD48616" w14:textId="77777777" w:rsidR="00DA77FC" w:rsidRPr="008675CA" w:rsidRDefault="00372DCD" w:rsidP="00DA77FC">
      <w:pPr>
        <w:pStyle w:val="head2"/>
        <w:ind w:left="0" w:firstLine="0"/>
        <w:rPr>
          <w:rFonts w:asciiTheme="majorHAnsi" w:hAnsiTheme="majorHAnsi"/>
        </w:rPr>
      </w:pPr>
      <w:bookmarkStart w:id="56" w:name="_Toc102318571"/>
      <w:r w:rsidRPr="008675CA">
        <w:rPr>
          <w:rFonts w:asciiTheme="majorHAnsi" w:hAnsiTheme="majorHAnsi"/>
        </w:rPr>
        <w:t>2</w:t>
      </w:r>
      <w:r w:rsidR="00DA77FC" w:rsidRPr="008675CA">
        <w:rPr>
          <w:rFonts w:asciiTheme="majorHAnsi" w:hAnsiTheme="majorHAnsi"/>
        </w:rPr>
        <w:t>.5.4. Operation and Maintenance</w:t>
      </w:r>
      <w:bookmarkEnd w:id="56"/>
    </w:p>
    <w:p w14:paraId="7D28AB4B" w14:textId="77777777" w:rsidR="00DA77FC" w:rsidRPr="008675CA" w:rsidRDefault="00DA77FC" w:rsidP="00DA77FC">
      <w:pPr>
        <w:spacing w:after="0"/>
        <w:jc w:val="both"/>
        <w:rPr>
          <w:rFonts w:asciiTheme="majorHAnsi" w:hAnsiTheme="majorHAnsi"/>
        </w:rPr>
      </w:pPr>
      <w:r w:rsidRPr="008675CA">
        <w:rPr>
          <w:rFonts w:asciiTheme="majorHAnsi" w:hAnsiTheme="majorHAnsi"/>
        </w:rPr>
        <w:t>The Hon’ble Commission has approved the Operation and Maintenance Expenses in its true up order for</w:t>
      </w:r>
      <w:r w:rsidR="00EF757D" w:rsidRPr="008675CA">
        <w:rPr>
          <w:rFonts w:asciiTheme="majorHAnsi" w:hAnsiTheme="majorHAnsi"/>
        </w:rPr>
        <w:t xml:space="preserve"> </w:t>
      </w:r>
      <w:r w:rsidRPr="008675CA">
        <w:rPr>
          <w:rFonts w:asciiTheme="majorHAnsi" w:hAnsiTheme="majorHAnsi"/>
        </w:rPr>
        <w:t xml:space="preserve">FY </w:t>
      </w:r>
      <w:r w:rsidR="00D0423A" w:rsidRPr="008675CA">
        <w:rPr>
          <w:rFonts w:asciiTheme="majorHAnsi" w:hAnsiTheme="majorHAnsi"/>
        </w:rPr>
        <w:t>2020-21</w:t>
      </w:r>
      <w:r w:rsidRPr="008675CA">
        <w:rPr>
          <w:rFonts w:asciiTheme="majorHAnsi" w:hAnsiTheme="majorHAnsi"/>
        </w:rPr>
        <w:t xml:space="preserve"> at R</w:t>
      </w:r>
      <w:r w:rsidR="002E1A63" w:rsidRPr="008675CA">
        <w:rPr>
          <w:rFonts w:asciiTheme="majorHAnsi" w:hAnsiTheme="majorHAnsi"/>
        </w:rPr>
        <w:t>s.</w:t>
      </w:r>
      <w:r w:rsidRPr="008675CA">
        <w:rPr>
          <w:rFonts w:asciiTheme="majorHAnsi" w:hAnsiTheme="majorHAnsi"/>
        </w:rPr>
        <w:t xml:space="preserve"> </w:t>
      </w:r>
      <w:r w:rsidR="002E1A63" w:rsidRPr="008675CA">
        <w:rPr>
          <w:rFonts w:asciiTheme="majorHAnsi" w:hAnsiTheme="majorHAnsi"/>
        </w:rPr>
        <w:t>44.86</w:t>
      </w:r>
      <w:r w:rsidRPr="008675CA">
        <w:rPr>
          <w:rFonts w:asciiTheme="majorHAnsi" w:hAnsiTheme="majorHAnsi"/>
        </w:rPr>
        <w:t xml:space="preserve"> Cr. MePGCL submitted O&amp;M expenses of </w:t>
      </w:r>
      <w:r w:rsidR="00BB740F" w:rsidRPr="008675CA">
        <w:rPr>
          <w:rFonts w:asciiTheme="majorHAnsi" w:hAnsiTheme="majorHAnsi"/>
        </w:rPr>
        <w:t>R</w:t>
      </w:r>
      <w:r w:rsidR="002E1A63" w:rsidRPr="008675CA">
        <w:rPr>
          <w:rFonts w:asciiTheme="majorHAnsi" w:hAnsiTheme="majorHAnsi"/>
        </w:rPr>
        <w:t>s.</w:t>
      </w:r>
      <w:r w:rsidRPr="008675CA">
        <w:rPr>
          <w:rFonts w:asciiTheme="majorHAnsi" w:hAnsiTheme="majorHAnsi"/>
        </w:rPr>
        <w:t xml:space="preserve"> </w:t>
      </w:r>
      <w:r w:rsidR="002E1A63" w:rsidRPr="008675CA">
        <w:rPr>
          <w:rFonts w:asciiTheme="majorHAnsi" w:hAnsiTheme="majorHAnsi"/>
        </w:rPr>
        <w:t>90.52</w:t>
      </w:r>
      <w:r w:rsidRPr="008675CA">
        <w:rPr>
          <w:rFonts w:asciiTheme="majorHAnsi" w:hAnsiTheme="majorHAnsi"/>
        </w:rPr>
        <w:t xml:space="preserve"> crore for FY </w:t>
      </w:r>
      <w:r w:rsidR="002E1A63" w:rsidRPr="008675CA">
        <w:rPr>
          <w:rFonts w:asciiTheme="majorHAnsi" w:hAnsiTheme="majorHAnsi"/>
        </w:rPr>
        <w:t xml:space="preserve">2020-21 </w:t>
      </w:r>
      <w:r w:rsidRPr="008675CA">
        <w:rPr>
          <w:rFonts w:asciiTheme="majorHAnsi" w:hAnsiTheme="majorHAnsi"/>
        </w:rPr>
        <w:t>which includes apportionment of MeECL’s expenses based on the audited accounts.</w:t>
      </w:r>
    </w:p>
    <w:p w14:paraId="6CD6D18F" w14:textId="08BBB2CC" w:rsidR="00DA77FC" w:rsidRDefault="00DA77FC" w:rsidP="00DA77FC">
      <w:pPr>
        <w:spacing w:after="0"/>
        <w:jc w:val="both"/>
        <w:rPr>
          <w:rFonts w:asciiTheme="majorHAnsi" w:hAnsiTheme="majorHAnsi"/>
          <w:b/>
        </w:rPr>
      </w:pPr>
      <w:r w:rsidRPr="008675CA">
        <w:rPr>
          <w:rFonts w:asciiTheme="majorHAnsi" w:hAnsiTheme="majorHAnsi"/>
        </w:rPr>
        <w:lastRenderedPageBreak/>
        <w:t xml:space="preserve">It appears that the </w:t>
      </w:r>
      <w:r w:rsidRPr="008675CA">
        <w:rPr>
          <w:rFonts w:asciiTheme="majorHAnsi" w:hAnsiTheme="majorHAnsi"/>
          <w:b/>
        </w:rPr>
        <w:t xml:space="preserve">Hon’ble Commission has adopted an erroneous approach in calculating the O&amp;M cost for old plants (excluding Sonapani) for FY </w:t>
      </w:r>
      <w:r w:rsidR="002E1A63" w:rsidRPr="008675CA">
        <w:rPr>
          <w:rFonts w:asciiTheme="majorHAnsi" w:hAnsiTheme="majorHAnsi"/>
          <w:b/>
        </w:rPr>
        <w:t>2020-21</w:t>
      </w:r>
      <w:r w:rsidRPr="008675CA">
        <w:rPr>
          <w:rFonts w:asciiTheme="majorHAnsi" w:hAnsiTheme="majorHAnsi"/>
          <w:b/>
        </w:rPr>
        <w:t xml:space="preserve"> by escalating the O&amp;M cost for old plants as approved in the true up order for FY 2017-18 at 5.72%; instead of considering the actual value of the O&amp;M components such as Employee Cost, R&amp;M Expenses, and A&amp;G Expenses, as per the audited SoA for MePGCL for FY </w:t>
      </w:r>
      <w:r w:rsidR="002E1A63" w:rsidRPr="008675CA">
        <w:rPr>
          <w:rFonts w:asciiTheme="majorHAnsi" w:hAnsiTheme="majorHAnsi"/>
          <w:b/>
        </w:rPr>
        <w:t xml:space="preserve">2020-21 which </w:t>
      </w:r>
      <w:r w:rsidR="002A3B3D">
        <w:rPr>
          <w:rFonts w:asciiTheme="majorHAnsi" w:hAnsiTheme="majorHAnsi"/>
          <w:b/>
        </w:rPr>
        <w:t>does</w:t>
      </w:r>
      <w:r w:rsidR="002E1A63" w:rsidRPr="008675CA">
        <w:rPr>
          <w:rFonts w:asciiTheme="majorHAnsi" w:hAnsiTheme="majorHAnsi"/>
          <w:b/>
        </w:rPr>
        <w:t xml:space="preserve"> tally with the actual expenses.</w:t>
      </w:r>
    </w:p>
    <w:p w14:paraId="78E3B229" w14:textId="77777777" w:rsidR="006517AE" w:rsidRPr="008675CA" w:rsidRDefault="006517AE" w:rsidP="00DA77FC">
      <w:pPr>
        <w:spacing w:after="0"/>
        <w:jc w:val="both"/>
        <w:rPr>
          <w:rFonts w:asciiTheme="majorHAnsi" w:hAnsiTheme="majorHAnsi"/>
        </w:rPr>
      </w:pPr>
    </w:p>
    <w:p w14:paraId="6EEAC48B" w14:textId="5A4A7F65" w:rsidR="00DA77FC" w:rsidRPr="008675CA" w:rsidRDefault="00DA77FC" w:rsidP="00DA77FC">
      <w:pPr>
        <w:spacing w:after="0"/>
        <w:jc w:val="both"/>
        <w:rPr>
          <w:rFonts w:asciiTheme="majorHAnsi" w:hAnsiTheme="majorHAnsi"/>
        </w:rPr>
      </w:pPr>
      <w:r w:rsidRPr="008675CA">
        <w:rPr>
          <w:rFonts w:asciiTheme="majorHAnsi" w:hAnsiTheme="majorHAnsi"/>
        </w:rPr>
        <w:t xml:space="preserve">The Hon’ble Commission in its recent orders has adopted the new approach of </w:t>
      </w:r>
      <w:r w:rsidRPr="008675CA">
        <w:rPr>
          <w:rFonts w:asciiTheme="majorHAnsi" w:hAnsiTheme="majorHAnsi"/>
          <w:b/>
        </w:rPr>
        <w:t>considering 2% of project cost, with year-on-year escalation clause for O&amp;M cost calculation for old plants</w:t>
      </w:r>
      <w:r w:rsidRPr="008675CA">
        <w:rPr>
          <w:rFonts w:asciiTheme="majorHAnsi" w:hAnsiTheme="majorHAnsi"/>
        </w:rPr>
        <w:t xml:space="preserve">, instead of considering the actual O&amp;M expense as per Statement of Accounts. But, as mentioned in the previous section, as per Clause 56.7 of MSERC (Multi Year Tariff) Regulations 2014, this is applicable only for the projects which have achieved their COD post 01.04.2009. </w:t>
      </w:r>
      <w:r w:rsidRPr="008675CA">
        <w:rPr>
          <w:rFonts w:asciiTheme="majorHAnsi" w:hAnsiTheme="majorHAnsi"/>
          <w:b/>
        </w:rPr>
        <w:t>Hence, this approach of calculating O&amp;M cost is not applicable for old plants since it is not in line with the Regulations.</w:t>
      </w:r>
      <w:r w:rsidR="006517AE">
        <w:rPr>
          <w:rFonts w:asciiTheme="majorHAnsi" w:hAnsiTheme="majorHAnsi"/>
          <w:b/>
        </w:rPr>
        <w:t xml:space="preserve"> </w:t>
      </w:r>
      <w:r w:rsidRPr="008675CA">
        <w:rPr>
          <w:rFonts w:asciiTheme="majorHAnsi" w:hAnsiTheme="majorHAnsi"/>
          <w:b/>
        </w:rPr>
        <w:t>O&amp;M expense for old plants accounts for O&amp;M activities undertaken across all the old generation plants</w:t>
      </w:r>
      <w:r w:rsidRPr="008675CA">
        <w:rPr>
          <w:rFonts w:asciiTheme="majorHAnsi" w:hAnsiTheme="majorHAnsi"/>
        </w:rPr>
        <w:t xml:space="preserve">. Thus, the consideration of assets of only Umiam Stage-IV (among all old plants) and Sonapani MHP for O&amp;M cost calculation of old plants is incorrect and has led to significant under recovery of the O&amp;M cost of old plants. </w:t>
      </w:r>
    </w:p>
    <w:p w14:paraId="3F82E94E" w14:textId="77777777" w:rsidR="00DA77FC" w:rsidRPr="008675CA" w:rsidRDefault="00DA77FC" w:rsidP="00DA77FC">
      <w:pPr>
        <w:spacing w:after="0"/>
        <w:ind w:left="360"/>
        <w:jc w:val="both"/>
        <w:rPr>
          <w:rFonts w:asciiTheme="majorHAnsi" w:hAnsiTheme="majorHAnsi"/>
        </w:rPr>
      </w:pPr>
    </w:p>
    <w:p w14:paraId="0DCEFA8C" w14:textId="4DC9B10F" w:rsidR="0032259B" w:rsidRDefault="00DA77FC" w:rsidP="00DA77FC">
      <w:pPr>
        <w:spacing w:after="0"/>
        <w:jc w:val="both"/>
        <w:rPr>
          <w:rFonts w:asciiTheme="majorHAnsi" w:hAnsiTheme="majorHAnsi"/>
        </w:rPr>
      </w:pPr>
      <w:r w:rsidRPr="008675CA">
        <w:rPr>
          <w:rFonts w:asciiTheme="majorHAnsi" w:hAnsiTheme="majorHAnsi"/>
        </w:rPr>
        <w:t>The sum of O&amp;M Expenses for MePGCL as a whole, Myntdu-Leshka, NUHEP, Old stations including Sonapani and apportionment of MeECL expenses in order to arrive at O&amp;M expenses for old plants as per the audited statement of accounts is given below</w:t>
      </w:r>
      <w:r w:rsidR="008A1D73">
        <w:rPr>
          <w:rFonts w:asciiTheme="majorHAnsi" w:hAnsiTheme="majorHAnsi"/>
        </w:rPr>
        <w:t xml:space="preserve">. </w:t>
      </w:r>
      <w:r w:rsidR="008A1D73" w:rsidRPr="0032259B">
        <w:rPr>
          <w:rFonts w:asciiTheme="majorHAnsi" w:hAnsiTheme="majorHAnsi"/>
          <w:b/>
        </w:rPr>
        <w:t xml:space="preserve">The apportionment of Terminal Benefits for FY 2020-21 </w:t>
      </w:r>
      <w:r w:rsidR="006517AE" w:rsidRPr="0032259B">
        <w:rPr>
          <w:rFonts w:asciiTheme="majorHAnsi" w:hAnsiTheme="majorHAnsi"/>
          <w:b/>
        </w:rPr>
        <w:t xml:space="preserve">for MePGCL </w:t>
      </w:r>
      <w:r w:rsidR="0032259B" w:rsidRPr="0032259B">
        <w:rPr>
          <w:rFonts w:asciiTheme="majorHAnsi" w:hAnsiTheme="majorHAnsi"/>
          <w:b/>
        </w:rPr>
        <w:t>audited by the C</w:t>
      </w:r>
      <w:r w:rsidR="006517AE">
        <w:rPr>
          <w:rFonts w:asciiTheme="majorHAnsi" w:hAnsiTheme="majorHAnsi"/>
          <w:b/>
        </w:rPr>
        <w:t>hartered Accountant i.e. M/s Da</w:t>
      </w:r>
      <w:r w:rsidR="0032259B" w:rsidRPr="0032259B">
        <w:rPr>
          <w:rFonts w:asciiTheme="majorHAnsi" w:hAnsiTheme="majorHAnsi"/>
          <w:b/>
        </w:rPr>
        <w:t xml:space="preserve">dhich </w:t>
      </w:r>
      <w:r w:rsidR="006517AE">
        <w:rPr>
          <w:rFonts w:asciiTheme="majorHAnsi" w:hAnsiTheme="majorHAnsi"/>
          <w:b/>
        </w:rPr>
        <w:t>&amp;</w:t>
      </w:r>
      <w:r w:rsidR="0032259B" w:rsidRPr="0032259B">
        <w:rPr>
          <w:rFonts w:asciiTheme="majorHAnsi" w:hAnsiTheme="majorHAnsi"/>
          <w:b/>
        </w:rPr>
        <w:t xml:space="preserve"> Associates (Annexure B) amounting to Rs. 63.16 Cr. (i.e. 56.84+18.95/3) has been included in the </w:t>
      </w:r>
      <w:r w:rsidR="008A1D73" w:rsidRPr="0032259B">
        <w:rPr>
          <w:rFonts w:asciiTheme="majorHAnsi" w:hAnsiTheme="majorHAnsi"/>
          <w:b/>
        </w:rPr>
        <w:t xml:space="preserve"> O&amp;M expenses for old stations including Sonapani</w:t>
      </w:r>
      <w:r w:rsidR="008A1D73">
        <w:rPr>
          <w:rFonts w:asciiTheme="majorHAnsi" w:hAnsiTheme="majorHAnsi"/>
        </w:rPr>
        <w:t xml:space="preserve"> </w:t>
      </w:r>
      <w:r w:rsidRPr="008675CA">
        <w:rPr>
          <w:rFonts w:asciiTheme="majorHAnsi" w:hAnsiTheme="majorHAnsi"/>
        </w:rPr>
        <w:t xml:space="preserve">and </w:t>
      </w:r>
      <w:r w:rsidR="0032259B">
        <w:rPr>
          <w:rFonts w:asciiTheme="majorHAnsi" w:hAnsiTheme="majorHAnsi"/>
        </w:rPr>
        <w:t xml:space="preserve">requested the Hon’ble Commission to kindly consider the Pension Trust of MePGCL. </w:t>
      </w:r>
    </w:p>
    <w:p w14:paraId="4FC59CCC" w14:textId="77777777" w:rsidR="0032259B" w:rsidRDefault="0032259B" w:rsidP="00DA77FC">
      <w:pPr>
        <w:spacing w:after="0"/>
        <w:jc w:val="both"/>
        <w:rPr>
          <w:rFonts w:asciiTheme="majorHAnsi" w:hAnsiTheme="majorHAnsi"/>
        </w:rPr>
      </w:pPr>
    </w:p>
    <w:p w14:paraId="1C3D22E4" w14:textId="27D10C09" w:rsidR="00DA77FC" w:rsidRPr="008675CA" w:rsidRDefault="00DA77FC" w:rsidP="00DA77FC">
      <w:pPr>
        <w:spacing w:after="0"/>
        <w:jc w:val="both"/>
        <w:rPr>
          <w:rFonts w:asciiTheme="majorHAnsi" w:hAnsiTheme="majorHAnsi"/>
        </w:rPr>
      </w:pPr>
      <w:r w:rsidRPr="008675CA">
        <w:rPr>
          <w:rFonts w:asciiTheme="majorHAnsi" w:hAnsiTheme="majorHAnsi"/>
        </w:rPr>
        <w:t>MePGCL request</w:t>
      </w:r>
      <w:r w:rsidR="0032259B">
        <w:rPr>
          <w:rFonts w:asciiTheme="majorHAnsi" w:hAnsiTheme="majorHAnsi"/>
        </w:rPr>
        <w:t xml:space="preserve"> the Hon’ble Commission to kindly consider the</w:t>
      </w:r>
      <w:r w:rsidRPr="008675CA">
        <w:rPr>
          <w:rFonts w:asciiTheme="majorHAnsi" w:hAnsiTheme="majorHAnsi"/>
        </w:rPr>
        <w:t xml:space="preserve"> additional claim </w:t>
      </w:r>
      <w:r w:rsidR="0032259B">
        <w:rPr>
          <w:rFonts w:asciiTheme="majorHAnsi" w:hAnsiTheme="majorHAnsi"/>
        </w:rPr>
        <w:t xml:space="preserve">of Rs. 64.78 Cr. </w:t>
      </w:r>
      <w:r w:rsidRPr="008675CA">
        <w:rPr>
          <w:rFonts w:asciiTheme="majorHAnsi" w:hAnsiTheme="majorHAnsi"/>
        </w:rPr>
        <w:t xml:space="preserve">for O&amp;M expenses as </w:t>
      </w:r>
      <w:r w:rsidR="0032259B">
        <w:rPr>
          <w:rFonts w:asciiTheme="majorHAnsi" w:hAnsiTheme="majorHAnsi"/>
        </w:rPr>
        <w:t xml:space="preserve">shown </w:t>
      </w:r>
      <w:r w:rsidRPr="008675CA">
        <w:rPr>
          <w:rFonts w:asciiTheme="majorHAnsi" w:hAnsiTheme="majorHAnsi"/>
        </w:rPr>
        <w:t>below:</w:t>
      </w:r>
    </w:p>
    <w:p w14:paraId="7070383A" w14:textId="77777777" w:rsidR="00DA77FC" w:rsidRPr="0032259B" w:rsidRDefault="00DA77FC" w:rsidP="00DA77FC">
      <w:pPr>
        <w:spacing w:after="0"/>
        <w:ind w:left="360"/>
        <w:jc w:val="both"/>
        <w:rPr>
          <w:rFonts w:asciiTheme="majorHAnsi" w:hAnsiTheme="majorHAnsi"/>
          <w:sz w:val="14"/>
        </w:rPr>
      </w:pPr>
    </w:p>
    <w:p w14:paraId="1C29FA24" w14:textId="74052229" w:rsidR="00DA77FC" w:rsidRDefault="00DA77FC" w:rsidP="00BB740F">
      <w:pPr>
        <w:spacing w:after="0"/>
        <w:rPr>
          <w:rFonts w:asciiTheme="majorHAnsi" w:hAnsiTheme="majorHAnsi"/>
          <w:b/>
        </w:rPr>
      </w:pPr>
      <w:r w:rsidRPr="008675CA">
        <w:rPr>
          <w:rFonts w:asciiTheme="majorHAnsi" w:hAnsiTheme="majorHAnsi"/>
          <w:b/>
        </w:rPr>
        <w:t xml:space="preserve">Table </w:t>
      </w:r>
      <w:r w:rsidR="00104302" w:rsidRPr="008675CA">
        <w:rPr>
          <w:rFonts w:asciiTheme="majorHAnsi" w:hAnsiTheme="majorHAnsi"/>
          <w:b/>
        </w:rPr>
        <w:t>2</w:t>
      </w:r>
      <w:r w:rsidR="002A3B3D">
        <w:rPr>
          <w:rFonts w:asciiTheme="majorHAnsi" w:hAnsiTheme="majorHAnsi"/>
          <w:b/>
        </w:rPr>
        <w:t>2</w:t>
      </w:r>
      <w:r w:rsidRPr="008675CA">
        <w:rPr>
          <w:rFonts w:asciiTheme="majorHAnsi" w:hAnsiTheme="majorHAnsi"/>
          <w:b/>
        </w:rPr>
        <w:t>: O&amp;M Cost of MePGCL (O</w:t>
      </w:r>
      <w:r w:rsidR="002E1A63" w:rsidRPr="008675CA">
        <w:rPr>
          <w:rFonts w:asciiTheme="majorHAnsi" w:hAnsiTheme="majorHAnsi"/>
          <w:b/>
        </w:rPr>
        <w:t>ld Plants including Sonapani) (</w:t>
      </w:r>
      <w:r w:rsidRPr="008675CA">
        <w:rPr>
          <w:rFonts w:asciiTheme="majorHAnsi" w:hAnsiTheme="majorHAnsi"/>
          <w:b/>
        </w:rPr>
        <w:t xml:space="preserve">Cr.) for FY </w:t>
      </w:r>
      <w:r w:rsidR="002E1A63" w:rsidRPr="008675CA">
        <w:rPr>
          <w:rFonts w:asciiTheme="majorHAnsi" w:hAnsiTheme="majorHAnsi"/>
          <w:b/>
        </w:rPr>
        <w:t>2020-21</w:t>
      </w:r>
    </w:p>
    <w:tbl>
      <w:tblPr>
        <w:tblW w:w="10444" w:type="dxa"/>
        <w:tblInd w:w="-318" w:type="dxa"/>
        <w:tblLayout w:type="fixed"/>
        <w:tblLook w:val="04A0" w:firstRow="1" w:lastRow="0" w:firstColumn="1" w:lastColumn="0" w:noHBand="0" w:noVBand="1"/>
      </w:tblPr>
      <w:tblGrid>
        <w:gridCol w:w="1775"/>
        <w:gridCol w:w="2337"/>
        <w:gridCol w:w="992"/>
        <w:gridCol w:w="992"/>
        <w:gridCol w:w="851"/>
        <w:gridCol w:w="1417"/>
        <w:gridCol w:w="1176"/>
        <w:gridCol w:w="904"/>
      </w:tblGrid>
      <w:tr w:rsidR="008675CA" w:rsidRPr="006517AE" w14:paraId="2ED7A85C" w14:textId="77777777" w:rsidTr="0032259B">
        <w:trPr>
          <w:trHeight w:val="512"/>
        </w:trPr>
        <w:tc>
          <w:tcPr>
            <w:tcW w:w="1775" w:type="dxa"/>
            <w:vMerge w:val="restart"/>
            <w:tcBorders>
              <w:top w:val="single" w:sz="4" w:space="0" w:color="auto"/>
              <w:left w:val="single" w:sz="4" w:space="0" w:color="auto"/>
              <w:bottom w:val="single" w:sz="4" w:space="0" w:color="000000"/>
              <w:right w:val="single" w:sz="4" w:space="0" w:color="auto"/>
            </w:tcBorders>
            <w:shd w:val="clear" w:color="auto" w:fill="BFBFBF"/>
            <w:vAlign w:val="center"/>
            <w:hideMark/>
          </w:tcPr>
          <w:p w14:paraId="116DEE4E" w14:textId="77777777" w:rsidR="00DA77FC" w:rsidRPr="006517AE" w:rsidRDefault="00DA77FC" w:rsidP="006517AE">
            <w:pPr>
              <w:spacing w:after="0" w:line="276" w:lineRule="auto"/>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Particulars</w:t>
            </w:r>
          </w:p>
        </w:tc>
        <w:tc>
          <w:tcPr>
            <w:tcW w:w="2337" w:type="dxa"/>
            <w:tcBorders>
              <w:top w:val="single" w:sz="4" w:space="0" w:color="auto"/>
              <w:left w:val="nil"/>
              <w:bottom w:val="single" w:sz="4" w:space="0" w:color="auto"/>
              <w:right w:val="single" w:sz="4" w:space="0" w:color="auto"/>
            </w:tcBorders>
            <w:shd w:val="clear" w:color="auto" w:fill="BFBFBF"/>
            <w:vAlign w:val="center"/>
            <w:hideMark/>
          </w:tcPr>
          <w:p w14:paraId="415BD4CB" w14:textId="77777777" w:rsidR="00DA77FC" w:rsidRPr="006517AE" w:rsidRDefault="00DA77FC" w:rsidP="006517AE">
            <w:pPr>
              <w:spacing w:after="0" w:line="276" w:lineRule="auto"/>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For MePGCL (including apportionment MeECL)</w:t>
            </w:r>
          </w:p>
        </w:tc>
        <w:tc>
          <w:tcPr>
            <w:tcW w:w="992" w:type="dxa"/>
            <w:tcBorders>
              <w:top w:val="single" w:sz="4" w:space="0" w:color="auto"/>
              <w:left w:val="nil"/>
              <w:bottom w:val="single" w:sz="4" w:space="0" w:color="auto"/>
              <w:right w:val="single" w:sz="4" w:space="0" w:color="auto"/>
            </w:tcBorders>
            <w:shd w:val="clear" w:color="auto" w:fill="BFBFBF"/>
            <w:vAlign w:val="center"/>
            <w:hideMark/>
          </w:tcPr>
          <w:p w14:paraId="7AFF3AE5" w14:textId="77777777" w:rsidR="00DA77FC" w:rsidRPr="006517AE" w:rsidRDefault="00DA77FC" w:rsidP="006517AE">
            <w:pPr>
              <w:spacing w:after="0" w:line="276" w:lineRule="auto"/>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For Myntdu-Leshka</w:t>
            </w:r>
          </w:p>
        </w:tc>
        <w:tc>
          <w:tcPr>
            <w:tcW w:w="992" w:type="dxa"/>
            <w:tcBorders>
              <w:top w:val="single" w:sz="4" w:space="0" w:color="auto"/>
              <w:left w:val="nil"/>
              <w:bottom w:val="single" w:sz="4" w:space="0" w:color="auto"/>
              <w:right w:val="single" w:sz="4" w:space="0" w:color="auto"/>
            </w:tcBorders>
            <w:shd w:val="clear" w:color="auto" w:fill="BFBFBF"/>
            <w:vAlign w:val="center"/>
            <w:hideMark/>
          </w:tcPr>
          <w:p w14:paraId="2C836A83" w14:textId="77777777" w:rsidR="00DA77FC" w:rsidRPr="006517AE" w:rsidRDefault="00DA77FC" w:rsidP="006517AE">
            <w:pPr>
              <w:spacing w:after="0" w:line="276" w:lineRule="auto"/>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For NUHEP</w:t>
            </w:r>
          </w:p>
        </w:tc>
        <w:tc>
          <w:tcPr>
            <w:tcW w:w="851" w:type="dxa"/>
            <w:tcBorders>
              <w:top w:val="single" w:sz="4" w:space="0" w:color="auto"/>
              <w:left w:val="nil"/>
              <w:bottom w:val="single" w:sz="4" w:space="0" w:color="auto"/>
              <w:right w:val="single" w:sz="4" w:space="0" w:color="auto"/>
            </w:tcBorders>
            <w:shd w:val="clear" w:color="auto" w:fill="BFBFBF"/>
          </w:tcPr>
          <w:p w14:paraId="4899FF3A" w14:textId="77777777" w:rsidR="00DA77FC" w:rsidRPr="006517AE" w:rsidRDefault="00DA77FC" w:rsidP="006517AE">
            <w:pPr>
              <w:spacing w:after="0" w:line="276" w:lineRule="auto"/>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For Lakroh MHP</w:t>
            </w:r>
          </w:p>
        </w:tc>
        <w:tc>
          <w:tcPr>
            <w:tcW w:w="141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6E13387" w14:textId="77777777" w:rsidR="00DA77FC" w:rsidRPr="006517AE" w:rsidRDefault="00DA77FC" w:rsidP="006517AE">
            <w:pPr>
              <w:spacing w:after="0" w:line="276" w:lineRule="auto"/>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Total Claim for Old Plants &amp;Sonapani (including MeECL apportioned)</w:t>
            </w:r>
          </w:p>
        </w:tc>
        <w:tc>
          <w:tcPr>
            <w:tcW w:w="1176" w:type="dxa"/>
            <w:tcBorders>
              <w:top w:val="single" w:sz="4" w:space="0" w:color="auto"/>
              <w:left w:val="nil"/>
              <w:bottom w:val="single" w:sz="4" w:space="0" w:color="auto"/>
              <w:right w:val="single" w:sz="4" w:space="0" w:color="auto"/>
            </w:tcBorders>
            <w:shd w:val="clear" w:color="auto" w:fill="BFBFBF"/>
          </w:tcPr>
          <w:p w14:paraId="1882AB9F" w14:textId="77777777" w:rsidR="00DA77FC" w:rsidRPr="006517AE" w:rsidRDefault="00DA77FC" w:rsidP="006517AE">
            <w:pPr>
              <w:spacing w:after="0" w:line="276" w:lineRule="auto"/>
              <w:ind w:left="-108"/>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Approved in the True up order for Old Stations (Sonapani)</w:t>
            </w:r>
          </w:p>
        </w:tc>
        <w:tc>
          <w:tcPr>
            <w:tcW w:w="904" w:type="dxa"/>
            <w:tcBorders>
              <w:top w:val="single" w:sz="4" w:space="0" w:color="auto"/>
              <w:left w:val="nil"/>
              <w:bottom w:val="single" w:sz="4" w:space="0" w:color="auto"/>
              <w:right w:val="single" w:sz="4" w:space="0" w:color="auto"/>
            </w:tcBorders>
            <w:shd w:val="clear" w:color="auto" w:fill="BFBFBF"/>
          </w:tcPr>
          <w:p w14:paraId="67FEA39D" w14:textId="77777777" w:rsidR="00DA77FC" w:rsidRPr="006517AE" w:rsidRDefault="00DA77FC" w:rsidP="006517AE">
            <w:pPr>
              <w:spacing w:after="0" w:line="276" w:lineRule="auto"/>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 xml:space="preserve">Additional claim </w:t>
            </w:r>
          </w:p>
        </w:tc>
      </w:tr>
      <w:tr w:rsidR="008675CA" w:rsidRPr="006517AE" w14:paraId="2F1435A4" w14:textId="77777777" w:rsidTr="0032259B">
        <w:trPr>
          <w:trHeight w:val="191"/>
        </w:trPr>
        <w:tc>
          <w:tcPr>
            <w:tcW w:w="1775" w:type="dxa"/>
            <w:vMerge/>
            <w:tcBorders>
              <w:top w:val="single" w:sz="4" w:space="0" w:color="auto"/>
              <w:left w:val="single" w:sz="4" w:space="0" w:color="auto"/>
              <w:bottom w:val="single" w:sz="4" w:space="0" w:color="000000"/>
              <w:right w:val="single" w:sz="4" w:space="0" w:color="auto"/>
            </w:tcBorders>
            <w:vAlign w:val="center"/>
            <w:hideMark/>
          </w:tcPr>
          <w:p w14:paraId="2262A199" w14:textId="77777777" w:rsidR="00DA77FC" w:rsidRPr="006517AE" w:rsidRDefault="00DA77FC" w:rsidP="006517AE">
            <w:pPr>
              <w:spacing w:after="0" w:line="276" w:lineRule="auto"/>
              <w:rPr>
                <w:rFonts w:asciiTheme="majorHAnsi" w:eastAsia="Times New Roman" w:hAnsiTheme="majorHAnsi" w:cs="Calibri"/>
                <w:b/>
                <w:bCs/>
                <w:sz w:val="20"/>
                <w:szCs w:val="20"/>
              </w:rPr>
            </w:pPr>
          </w:p>
        </w:tc>
        <w:tc>
          <w:tcPr>
            <w:tcW w:w="2337" w:type="dxa"/>
            <w:tcBorders>
              <w:top w:val="nil"/>
              <w:left w:val="nil"/>
              <w:bottom w:val="single" w:sz="4" w:space="0" w:color="auto"/>
              <w:right w:val="single" w:sz="4" w:space="0" w:color="auto"/>
            </w:tcBorders>
            <w:shd w:val="clear" w:color="auto" w:fill="BFBFBF"/>
            <w:hideMark/>
          </w:tcPr>
          <w:p w14:paraId="3CDE2BB2" w14:textId="77777777" w:rsidR="00DA77FC" w:rsidRPr="006517AE" w:rsidRDefault="00DA77FC" w:rsidP="006517AE">
            <w:pPr>
              <w:spacing w:after="0" w:line="276" w:lineRule="auto"/>
              <w:jc w:val="center"/>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(a)</w:t>
            </w:r>
          </w:p>
        </w:tc>
        <w:tc>
          <w:tcPr>
            <w:tcW w:w="992" w:type="dxa"/>
            <w:tcBorders>
              <w:top w:val="nil"/>
              <w:left w:val="nil"/>
              <w:bottom w:val="single" w:sz="4" w:space="0" w:color="auto"/>
              <w:right w:val="single" w:sz="4" w:space="0" w:color="auto"/>
            </w:tcBorders>
            <w:shd w:val="clear" w:color="auto" w:fill="BFBFBF"/>
            <w:hideMark/>
          </w:tcPr>
          <w:p w14:paraId="323F1F96" w14:textId="77777777" w:rsidR="00DA77FC" w:rsidRPr="006517AE" w:rsidRDefault="00DA77FC" w:rsidP="006517AE">
            <w:pPr>
              <w:spacing w:after="0" w:line="276" w:lineRule="auto"/>
              <w:jc w:val="center"/>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(b)</w:t>
            </w:r>
          </w:p>
        </w:tc>
        <w:tc>
          <w:tcPr>
            <w:tcW w:w="992" w:type="dxa"/>
            <w:tcBorders>
              <w:top w:val="nil"/>
              <w:left w:val="nil"/>
              <w:bottom w:val="single" w:sz="4" w:space="0" w:color="auto"/>
              <w:right w:val="single" w:sz="4" w:space="0" w:color="auto"/>
            </w:tcBorders>
            <w:shd w:val="clear" w:color="auto" w:fill="BFBFBF"/>
            <w:hideMark/>
          </w:tcPr>
          <w:p w14:paraId="3AAB81C1" w14:textId="77777777" w:rsidR="00DA77FC" w:rsidRPr="006517AE" w:rsidRDefault="00DA77FC" w:rsidP="006517AE">
            <w:pPr>
              <w:spacing w:after="0" w:line="276" w:lineRule="auto"/>
              <w:jc w:val="center"/>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(c)</w:t>
            </w:r>
          </w:p>
        </w:tc>
        <w:tc>
          <w:tcPr>
            <w:tcW w:w="851" w:type="dxa"/>
            <w:tcBorders>
              <w:top w:val="nil"/>
              <w:left w:val="nil"/>
              <w:bottom w:val="single" w:sz="4" w:space="0" w:color="auto"/>
              <w:right w:val="single" w:sz="4" w:space="0" w:color="auto"/>
            </w:tcBorders>
            <w:shd w:val="clear" w:color="auto" w:fill="BFBFBF"/>
          </w:tcPr>
          <w:p w14:paraId="609D8ECC" w14:textId="4924D76D" w:rsidR="00DA77FC" w:rsidRPr="006517AE" w:rsidRDefault="000E6CAB" w:rsidP="006517AE">
            <w:pPr>
              <w:spacing w:after="0" w:line="276" w:lineRule="auto"/>
              <w:jc w:val="center"/>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(d)</w:t>
            </w:r>
          </w:p>
        </w:tc>
        <w:tc>
          <w:tcPr>
            <w:tcW w:w="1417" w:type="dxa"/>
            <w:tcBorders>
              <w:top w:val="nil"/>
              <w:left w:val="single" w:sz="4" w:space="0" w:color="auto"/>
              <w:bottom w:val="single" w:sz="4" w:space="0" w:color="auto"/>
              <w:right w:val="single" w:sz="4" w:space="0" w:color="auto"/>
            </w:tcBorders>
            <w:shd w:val="clear" w:color="auto" w:fill="BFBFBF"/>
            <w:hideMark/>
          </w:tcPr>
          <w:p w14:paraId="177BFF1B" w14:textId="1F32AFED" w:rsidR="00DA77FC" w:rsidRPr="006517AE" w:rsidRDefault="000E6CAB" w:rsidP="006517AE">
            <w:pPr>
              <w:spacing w:after="0" w:line="276" w:lineRule="auto"/>
              <w:jc w:val="center"/>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(e</w:t>
            </w:r>
            <w:r w:rsidR="00DA77FC" w:rsidRPr="006517AE">
              <w:rPr>
                <w:rFonts w:asciiTheme="majorHAnsi" w:eastAsia="Times New Roman" w:hAnsiTheme="majorHAnsi" w:cs="Calibri"/>
                <w:b/>
                <w:bCs/>
                <w:sz w:val="20"/>
                <w:szCs w:val="20"/>
              </w:rPr>
              <w:t>)=a-b-c</w:t>
            </w:r>
            <w:r w:rsidRPr="006517AE">
              <w:rPr>
                <w:rFonts w:asciiTheme="majorHAnsi" w:eastAsia="Times New Roman" w:hAnsiTheme="majorHAnsi" w:cs="Calibri"/>
                <w:b/>
                <w:bCs/>
                <w:sz w:val="20"/>
                <w:szCs w:val="20"/>
              </w:rPr>
              <w:t>-d</w:t>
            </w:r>
          </w:p>
        </w:tc>
        <w:tc>
          <w:tcPr>
            <w:tcW w:w="1176" w:type="dxa"/>
            <w:tcBorders>
              <w:top w:val="nil"/>
              <w:left w:val="nil"/>
              <w:bottom w:val="single" w:sz="4" w:space="0" w:color="auto"/>
              <w:right w:val="single" w:sz="4" w:space="0" w:color="auto"/>
            </w:tcBorders>
            <w:shd w:val="clear" w:color="auto" w:fill="BFBFBF"/>
          </w:tcPr>
          <w:p w14:paraId="0AF65DDE" w14:textId="77777777" w:rsidR="00DA77FC" w:rsidRPr="006517AE" w:rsidRDefault="00DA77FC" w:rsidP="006517AE">
            <w:pPr>
              <w:spacing w:after="0" w:line="276" w:lineRule="auto"/>
              <w:jc w:val="center"/>
              <w:rPr>
                <w:rFonts w:asciiTheme="majorHAnsi" w:eastAsia="Times New Roman" w:hAnsiTheme="majorHAnsi" w:cs="Calibri"/>
                <w:b/>
                <w:bCs/>
                <w:sz w:val="20"/>
                <w:szCs w:val="20"/>
              </w:rPr>
            </w:pPr>
          </w:p>
        </w:tc>
        <w:tc>
          <w:tcPr>
            <w:tcW w:w="904" w:type="dxa"/>
            <w:tcBorders>
              <w:top w:val="nil"/>
              <w:left w:val="nil"/>
              <w:bottom w:val="single" w:sz="4" w:space="0" w:color="auto"/>
              <w:right w:val="single" w:sz="4" w:space="0" w:color="auto"/>
            </w:tcBorders>
            <w:shd w:val="clear" w:color="auto" w:fill="BFBFBF"/>
          </w:tcPr>
          <w:p w14:paraId="287BC3D3" w14:textId="77777777" w:rsidR="00DA77FC" w:rsidRPr="006517AE" w:rsidRDefault="00DA77FC" w:rsidP="006517AE">
            <w:pPr>
              <w:spacing w:after="0" w:line="276" w:lineRule="auto"/>
              <w:jc w:val="center"/>
              <w:rPr>
                <w:rFonts w:asciiTheme="majorHAnsi" w:eastAsia="Times New Roman" w:hAnsiTheme="majorHAnsi" w:cs="Calibri"/>
                <w:b/>
                <w:bCs/>
                <w:sz w:val="20"/>
                <w:szCs w:val="20"/>
              </w:rPr>
            </w:pPr>
          </w:p>
        </w:tc>
      </w:tr>
      <w:tr w:rsidR="008675CA" w:rsidRPr="006517AE" w14:paraId="5F1E4C8D" w14:textId="77777777" w:rsidTr="0032259B">
        <w:trPr>
          <w:trHeight w:val="191"/>
        </w:trPr>
        <w:tc>
          <w:tcPr>
            <w:tcW w:w="1775" w:type="dxa"/>
            <w:tcBorders>
              <w:top w:val="nil"/>
              <w:left w:val="single" w:sz="4" w:space="0" w:color="auto"/>
              <w:bottom w:val="single" w:sz="4" w:space="0" w:color="auto"/>
              <w:right w:val="single" w:sz="4" w:space="0" w:color="auto"/>
            </w:tcBorders>
            <w:noWrap/>
            <w:hideMark/>
          </w:tcPr>
          <w:p w14:paraId="355AB310" w14:textId="77777777" w:rsidR="00DA77FC" w:rsidRPr="006517AE" w:rsidRDefault="00DA77FC" w:rsidP="006517AE">
            <w:pPr>
              <w:spacing w:after="0" w:line="276" w:lineRule="auto"/>
              <w:rPr>
                <w:rFonts w:asciiTheme="majorHAnsi" w:eastAsia="Times New Roman" w:hAnsiTheme="majorHAnsi" w:cs="Calibri"/>
                <w:sz w:val="20"/>
                <w:szCs w:val="20"/>
              </w:rPr>
            </w:pPr>
            <w:r w:rsidRPr="006517AE">
              <w:rPr>
                <w:rFonts w:asciiTheme="majorHAnsi" w:eastAsia="Times New Roman" w:hAnsiTheme="majorHAnsi" w:cs="Calibri"/>
                <w:sz w:val="20"/>
                <w:szCs w:val="20"/>
              </w:rPr>
              <w:t>Employee Cost</w:t>
            </w:r>
          </w:p>
        </w:tc>
        <w:tc>
          <w:tcPr>
            <w:tcW w:w="2337" w:type="dxa"/>
            <w:tcBorders>
              <w:top w:val="nil"/>
              <w:left w:val="nil"/>
              <w:bottom w:val="single" w:sz="4" w:space="0" w:color="auto"/>
              <w:right w:val="single" w:sz="4" w:space="0" w:color="auto"/>
            </w:tcBorders>
            <w:noWrap/>
          </w:tcPr>
          <w:p w14:paraId="5BD810CD" w14:textId="03A4EA6F" w:rsidR="001309A7" w:rsidRPr="006517AE" w:rsidRDefault="001309A7" w:rsidP="006517AE">
            <w:pPr>
              <w:spacing w:after="0" w:line="276" w:lineRule="auto"/>
              <w:rPr>
                <w:rFonts w:asciiTheme="majorHAnsi" w:eastAsia="Times New Roman" w:hAnsiTheme="majorHAnsi" w:cs="Calibri"/>
                <w:sz w:val="20"/>
                <w:szCs w:val="20"/>
              </w:rPr>
            </w:pPr>
            <w:r w:rsidRPr="006517AE">
              <w:rPr>
                <w:rFonts w:asciiTheme="majorHAnsi" w:eastAsia="Times New Roman" w:hAnsiTheme="majorHAnsi" w:cs="Calibri"/>
                <w:sz w:val="20"/>
                <w:szCs w:val="20"/>
              </w:rPr>
              <w:t>(i). Salaries and wages</w:t>
            </w:r>
          </w:p>
          <w:p w14:paraId="6D004BAC" w14:textId="3F63F700" w:rsidR="001309A7" w:rsidRPr="006517AE" w:rsidRDefault="001309A7" w:rsidP="006517AE">
            <w:pPr>
              <w:spacing w:after="0" w:line="276" w:lineRule="auto"/>
              <w:rPr>
                <w:rFonts w:asciiTheme="majorHAnsi" w:eastAsia="Times New Roman" w:hAnsiTheme="majorHAnsi" w:cs="Calibri"/>
                <w:sz w:val="20"/>
                <w:szCs w:val="20"/>
              </w:rPr>
            </w:pPr>
            <w:r w:rsidRPr="006517AE">
              <w:rPr>
                <w:rFonts w:asciiTheme="majorHAnsi" w:eastAsia="Times New Roman" w:hAnsiTheme="majorHAnsi" w:cs="Calibri"/>
                <w:sz w:val="20"/>
                <w:szCs w:val="20"/>
              </w:rPr>
              <w:t>MePGCL=71.69</w:t>
            </w:r>
          </w:p>
          <w:p w14:paraId="79079C07" w14:textId="77777777" w:rsidR="001309A7" w:rsidRPr="006517AE" w:rsidRDefault="001309A7" w:rsidP="006517AE">
            <w:pPr>
              <w:spacing w:after="0" w:line="276" w:lineRule="auto"/>
              <w:rPr>
                <w:rFonts w:asciiTheme="majorHAnsi" w:eastAsia="Times New Roman" w:hAnsiTheme="majorHAnsi" w:cs="Calibri"/>
                <w:sz w:val="20"/>
                <w:szCs w:val="20"/>
              </w:rPr>
            </w:pPr>
            <w:r w:rsidRPr="006517AE">
              <w:rPr>
                <w:rFonts w:asciiTheme="majorHAnsi" w:eastAsia="Times New Roman" w:hAnsiTheme="majorHAnsi" w:cs="Calibri"/>
                <w:sz w:val="20"/>
                <w:szCs w:val="20"/>
              </w:rPr>
              <w:t>MeECL=13.10</w:t>
            </w:r>
          </w:p>
          <w:p w14:paraId="68C25B78" w14:textId="0FFE8540" w:rsidR="001309A7" w:rsidRPr="006517AE" w:rsidRDefault="008A1D73" w:rsidP="006517AE">
            <w:pPr>
              <w:spacing w:after="0" w:line="276" w:lineRule="auto"/>
              <w:rPr>
                <w:rFonts w:asciiTheme="majorHAnsi" w:eastAsia="Times New Roman" w:hAnsiTheme="majorHAnsi" w:cs="Calibri"/>
                <w:sz w:val="20"/>
                <w:szCs w:val="20"/>
              </w:rPr>
            </w:pPr>
            <w:r w:rsidRPr="006517AE">
              <w:rPr>
                <w:rFonts w:asciiTheme="majorHAnsi" w:eastAsia="Times New Roman" w:hAnsiTheme="majorHAnsi" w:cs="Calibri"/>
                <w:sz w:val="20"/>
                <w:szCs w:val="20"/>
              </w:rPr>
              <w:t>(ii).</w:t>
            </w:r>
            <w:r w:rsidR="001309A7" w:rsidRPr="006517AE">
              <w:rPr>
                <w:rFonts w:asciiTheme="majorHAnsi" w:eastAsia="Times New Roman" w:hAnsiTheme="majorHAnsi" w:cs="Calibri"/>
                <w:sz w:val="20"/>
                <w:szCs w:val="20"/>
              </w:rPr>
              <w:t>Contribution to other funds</w:t>
            </w:r>
          </w:p>
          <w:p w14:paraId="033BFED0" w14:textId="77777777" w:rsidR="001309A7" w:rsidRPr="006517AE" w:rsidRDefault="001309A7" w:rsidP="006517AE">
            <w:pPr>
              <w:spacing w:after="0" w:line="276" w:lineRule="auto"/>
              <w:rPr>
                <w:rFonts w:asciiTheme="majorHAnsi" w:eastAsia="Times New Roman" w:hAnsiTheme="majorHAnsi" w:cs="Calibri"/>
                <w:sz w:val="20"/>
                <w:szCs w:val="20"/>
              </w:rPr>
            </w:pPr>
            <w:r w:rsidRPr="006517AE">
              <w:rPr>
                <w:rFonts w:asciiTheme="majorHAnsi" w:eastAsia="Times New Roman" w:hAnsiTheme="majorHAnsi" w:cs="Calibri"/>
                <w:sz w:val="20"/>
                <w:szCs w:val="20"/>
              </w:rPr>
              <w:t>MePGCL=1.369</w:t>
            </w:r>
          </w:p>
          <w:p w14:paraId="5223748B" w14:textId="77777777" w:rsidR="001309A7" w:rsidRPr="006517AE" w:rsidRDefault="001309A7" w:rsidP="006517AE">
            <w:pPr>
              <w:spacing w:after="0" w:line="276" w:lineRule="auto"/>
              <w:rPr>
                <w:rFonts w:asciiTheme="majorHAnsi" w:eastAsia="Times New Roman" w:hAnsiTheme="majorHAnsi" w:cs="Calibri"/>
                <w:sz w:val="20"/>
                <w:szCs w:val="20"/>
              </w:rPr>
            </w:pPr>
            <w:r w:rsidRPr="006517AE">
              <w:rPr>
                <w:rFonts w:asciiTheme="majorHAnsi" w:eastAsia="Times New Roman" w:hAnsiTheme="majorHAnsi" w:cs="Calibri"/>
                <w:sz w:val="20"/>
                <w:szCs w:val="20"/>
              </w:rPr>
              <w:t>MeECL=0.09</w:t>
            </w:r>
          </w:p>
          <w:p w14:paraId="2B1D1081" w14:textId="669938E0" w:rsidR="001309A7" w:rsidRPr="006517AE" w:rsidRDefault="001309A7" w:rsidP="006517AE">
            <w:pPr>
              <w:spacing w:after="0" w:line="276" w:lineRule="auto"/>
              <w:rPr>
                <w:rFonts w:asciiTheme="majorHAnsi" w:eastAsia="Times New Roman" w:hAnsiTheme="majorHAnsi" w:cs="Calibri"/>
                <w:b/>
                <w:sz w:val="20"/>
                <w:szCs w:val="20"/>
              </w:rPr>
            </w:pPr>
            <w:r w:rsidRPr="006517AE">
              <w:rPr>
                <w:rFonts w:asciiTheme="majorHAnsi" w:eastAsia="Times New Roman" w:hAnsiTheme="majorHAnsi" w:cs="Calibri"/>
                <w:sz w:val="20"/>
                <w:szCs w:val="20"/>
              </w:rPr>
              <w:t>(iii).</w:t>
            </w:r>
            <w:r w:rsidRPr="006517AE">
              <w:rPr>
                <w:rFonts w:asciiTheme="majorHAnsi" w:eastAsia="Times New Roman" w:hAnsiTheme="majorHAnsi" w:cs="Calibri"/>
                <w:b/>
                <w:sz w:val="20"/>
                <w:szCs w:val="20"/>
              </w:rPr>
              <w:t xml:space="preserve">Pension </w:t>
            </w:r>
            <w:r w:rsidRPr="006517AE">
              <w:rPr>
                <w:rFonts w:asciiTheme="majorHAnsi" w:eastAsia="Times New Roman" w:hAnsiTheme="majorHAnsi" w:cs="Calibri"/>
                <w:b/>
                <w:sz w:val="20"/>
                <w:szCs w:val="20"/>
              </w:rPr>
              <w:lastRenderedPageBreak/>
              <w:t>Trust</w:t>
            </w:r>
            <w:r w:rsidR="008A1D73" w:rsidRPr="006517AE">
              <w:rPr>
                <w:rFonts w:asciiTheme="majorHAnsi" w:eastAsia="Times New Roman" w:hAnsiTheme="majorHAnsi" w:cs="Calibri"/>
                <w:b/>
                <w:sz w:val="20"/>
                <w:szCs w:val="20"/>
              </w:rPr>
              <w:t>*</w:t>
            </w:r>
            <w:r w:rsidRPr="006517AE">
              <w:rPr>
                <w:rFonts w:asciiTheme="majorHAnsi" w:eastAsia="Times New Roman" w:hAnsiTheme="majorHAnsi" w:cs="Calibri"/>
                <w:b/>
                <w:sz w:val="20"/>
                <w:szCs w:val="20"/>
              </w:rPr>
              <w:t>=</w:t>
            </w:r>
            <w:r w:rsidR="008A1D73" w:rsidRPr="006517AE">
              <w:rPr>
                <w:rFonts w:asciiTheme="majorHAnsi" w:eastAsia="Times New Roman" w:hAnsiTheme="majorHAnsi" w:cs="Calibri"/>
                <w:b/>
                <w:sz w:val="20"/>
                <w:szCs w:val="20"/>
              </w:rPr>
              <w:t>56.84+(18.95/3)=63.16</w:t>
            </w:r>
          </w:p>
          <w:p w14:paraId="1AAF231C" w14:textId="6B1D20DD" w:rsidR="001309A7" w:rsidRPr="006517AE" w:rsidRDefault="008A1D73" w:rsidP="006517AE">
            <w:pPr>
              <w:spacing w:after="0" w:line="276" w:lineRule="auto"/>
              <w:rPr>
                <w:rFonts w:asciiTheme="majorHAnsi" w:eastAsia="Times New Roman" w:hAnsiTheme="majorHAnsi" w:cs="Calibri"/>
                <w:sz w:val="20"/>
                <w:szCs w:val="20"/>
              </w:rPr>
            </w:pPr>
            <w:r w:rsidRPr="006517AE">
              <w:rPr>
                <w:rFonts w:asciiTheme="majorHAnsi" w:eastAsia="Times New Roman" w:hAnsiTheme="majorHAnsi" w:cs="Calibri"/>
                <w:sz w:val="20"/>
                <w:szCs w:val="20"/>
              </w:rPr>
              <w:t>TOTAL (i+ii+iii)= 149.41</w:t>
            </w:r>
          </w:p>
        </w:tc>
        <w:tc>
          <w:tcPr>
            <w:tcW w:w="992" w:type="dxa"/>
            <w:vMerge w:val="restart"/>
            <w:tcBorders>
              <w:top w:val="nil"/>
              <w:left w:val="single" w:sz="4" w:space="0" w:color="auto"/>
              <w:bottom w:val="single" w:sz="4" w:space="0" w:color="auto"/>
              <w:right w:val="single" w:sz="4" w:space="0" w:color="auto"/>
            </w:tcBorders>
            <w:vAlign w:val="center"/>
            <w:hideMark/>
          </w:tcPr>
          <w:p w14:paraId="4BE2A856" w14:textId="77777777" w:rsidR="00DA77FC" w:rsidRPr="006517AE" w:rsidRDefault="009F1957" w:rsidP="006517AE">
            <w:pPr>
              <w:spacing w:after="0" w:line="276" w:lineRule="auto"/>
              <w:jc w:val="center"/>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lastRenderedPageBreak/>
              <w:t>38.89</w:t>
            </w:r>
          </w:p>
        </w:tc>
        <w:tc>
          <w:tcPr>
            <w:tcW w:w="992" w:type="dxa"/>
            <w:vMerge w:val="restart"/>
            <w:tcBorders>
              <w:top w:val="nil"/>
              <w:left w:val="single" w:sz="4" w:space="0" w:color="auto"/>
              <w:bottom w:val="single" w:sz="4" w:space="0" w:color="000000"/>
              <w:right w:val="single" w:sz="4" w:space="0" w:color="auto"/>
            </w:tcBorders>
            <w:noWrap/>
            <w:vAlign w:val="center"/>
            <w:hideMark/>
          </w:tcPr>
          <w:p w14:paraId="5160C9CD" w14:textId="77777777" w:rsidR="00DA77FC" w:rsidRPr="006517AE" w:rsidRDefault="009F1957" w:rsidP="006517AE">
            <w:pPr>
              <w:spacing w:after="0" w:line="276" w:lineRule="auto"/>
              <w:jc w:val="center"/>
              <w:rPr>
                <w:rFonts w:asciiTheme="majorHAnsi" w:eastAsia="Times New Roman" w:hAnsiTheme="majorHAnsi" w:cs="Calibri"/>
                <w:b/>
                <w:sz w:val="20"/>
                <w:szCs w:val="20"/>
              </w:rPr>
            </w:pPr>
            <w:r w:rsidRPr="006517AE">
              <w:rPr>
                <w:rFonts w:asciiTheme="majorHAnsi" w:eastAsia="Times New Roman" w:hAnsiTheme="majorHAnsi" w:cs="Calibri"/>
                <w:b/>
                <w:sz w:val="20"/>
                <w:szCs w:val="20"/>
              </w:rPr>
              <w:t>13.72</w:t>
            </w:r>
          </w:p>
        </w:tc>
        <w:tc>
          <w:tcPr>
            <w:tcW w:w="851" w:type="dxa"/>
            <w:vMerge w:val="restart"/>
            <w:tcBorders>
              <w:top w:val="nil"/>
              <w:left w:val="single" w:sz="4" w:space="0" w:color="auto"/>
              <w:right w:val="single" w:sz="4" w:space="0" w:color="auto"/>
            </w:tcBorders>
            <w:vAlign w:val="center"/>
          </w:tcPr>
          <w:p w14:paraId="092AA028" w14:textId="77777777" w:rsidR="00DA77FC" w:rsidRPr="006517AE" w:rsidRDefault="009F1957" w:rsidP="006517AE">
            <w:pPr>
              <w:spacing w:after="0" w:line="276" w:lineRule="auto"/>
              <w:jc w:val="center"/>
              <w:rPr>
                <w:rFonts w:asciiTheme="majorHAnsi" w:eastAsia="Times New Roman" w:hAnsiTheme="majorHAnsi" w:cs="Calibri"/>
                <w:b/>
                <w:sz w:val="20"/>
                <w:szCs w:val="20"/>
              </w:rPr>
            </w:pPr>
            <w:r w:rsidRPr="006517AE">
              <w:rPr>
                <w:rFonts w:asciiTheme="majorHAnsi" w:eastAsia="Times New Roman" w:hAnsiTheme="majorHAnsi" w:cs="Calibri"/>
                <w:b/>
                <w:sz w:val="20"/>
                <w:szCs w:val="20"/>
              </w:rPr>
              <w:t>0.54</w:t>
            </w:r>
          </w:p>
        </w:tc>
        <w:tc>
          <w:tcPr>
            <w:tcW w:w="1417" w:type="dxa"/>
            <w:vMerge w:val="restart"/>
            <w:tcBorders>
              <w:top w:val="nil"/>
              <w:left w:val="single" w:sz="4" w:space="0" w:color="auto"/>
              <w:bottom w:val="single" w:sz="4" w:space="0" w:color="000000"/>
              <w:right w:val="single" w:sz="4" w:space="0" w:color="auto"/>
            </w:tcBorders>
            <w:noWrap/>
            <w:vAlign w:val="center"/>
            <w:hideMark/>
          </w:tcPr>
          <w:p w14:paraId="434EDA79" w14:textId="17A4F8BA" w:rsidR="00DA77FC" w:rsidRPr="006517AE" w:rsidRDefault="0032259B" w:rsidP="006517AE">
            <w:pPr>
              <w:spacing w:after="0" w:line="276" w:lineRule="auto"/>
              <w:jc w:val="center"/>
              <w:rPr>
                <w:rFonts w:asciiTheme="majorHAnsi" w:eastAsia="Times New Roman" w:hAnsiTheme="majorHAnsi" w:cs="Calibri"/>
                <w:b/>
                <w:sz w:val="20"/>
                <w:szCs w:val="20"/>
              </w:rPr>
            </w:pPr>
            <w:r w:rsidRPr="006517AE">
              <w:rPr>
                <w:rFonts w:asciiTheme="majorHAnsi" w:eastAsia="Times New Roman" w:hAnsiTheme="majorHAnsi" w:cs="Calibri"/>
                <w:b/>
                <w:sz w:val="20"/>
                <w:szCs w:val="20"/>
              </w:rPr>
              <w:t>109.64</w:t>
            </w:r>
          </w:p>
        </w:tc>
        <w:tc>
          <w:tcPr>
            <w:tcW w:w="1176" w:type="dxa"/>
            <w:vMerge w:val="restart"/>
            <w:tcBorders>
              <w:top w:val="nil"/>
              <w:left w:val="single" w:sz="4" w:space="0" w:color="auto"/>
              <w:right w:val="single" w:sz="4" w:space="0" w:color="auto"/>
            </w:tcBorders>
            <w:vAlign w:val="center"/>
          </w:tcPr>
          <w:p w14:paraId="432039C9" w14:textId="77777777" w:rsidR="00DA77FC" w:rsidRPr="006517AE" w:rsidRDefault="009F1957" w:rsidP="006517AE">
            <w:pPr>
              <w:spacing w:after="0" w:line="276" w:lineRule="auto"/>
              <w:jc w:val="center"/>
              <w:rPr>
                <w:rFonts w:asciiTheme="majorHAnsi" w:eastAsia="Times New Roman" w:hAnsiTheme="majorHAnsi" w:cs="Calibri"/>
                <w:b/>
                <w:sz w:val="20"/>
                <w:szCs w:val="20"/>
              </w:rPr>
            </w:pPr>
            <w:r w:rsidRPr="006517AE">
              <w:rPr>
                <w:rFonts w:asciiTheme="majorHAnsi" w:eastAsia="Times New Roman" w:hAnsiTheme="majorHAnsi" w:cs="Calibri"/>
                <w:b/>
                <w:sz w:val="20"/>
                <w:szCs w:val="20"/>
              </w:rPr>
              <w:t>44.86</w:t>
            </w:r>
          </w:p>
        </w:tc>
        <w:tc>
          <w:tcPr>
            <w:tcW w:w="904" w:type="dxa"/>
            <w:vMerge w:val="restart"/>
            <w:tcBorders>
              <w:top w:val="nil"/>
              <w:left w:val="single" w:sz="4" w:space="0" w:color="auto"/>
              <w:right w:val="single" w:sz="4" w:space="0" w:color="auto"/>
            </w:tcBorders>
            <w:vAlign w:val="center"/>
          </w:tcPr>
          <w:p w14:paraId="4655A817" w14:textId="664A6E58" w:rsidR="00DA77FC" w:rsidRPr="006517AE" w:rsidRDefault="0032259B" w:rsidP="006517AE">
            <w:pPr>
              <w:spacing w:after="0" w:line="276" w:lineRule="auto"/>
              <w:jc w:val="center"/>
              <w:rPr>
                <w:rFonts w:asciiTheme="majorHAnsi" w:eastAsia="Times New Roman" w:hAnsiTheme="majorHAnsi" w:cs="Calibri"/>
                <w:b/>
                <w:sz w:val="20"/>
                <w:szCs w:val="20"/>
              </w:rPr>
            </w:pPr>
            <w:r w:rsidRPr="006517AE">
              <w:rPr>
                <w:rFonts w:asciiTheme="majorHAnsi" w:eastAsia="Times New Roman" w:hAnsiTheme="majorHAnsi" w:cs="Calibri"/>
                <w:b/>
                <w:sz w:val="20"/>
                <w:szCs w:val="20"/>
              </w:rPr>
              <w:t>64.78</w:t>
            </w:r>
          </w:p>
        </w:tc>
      </w:tr>
      <w:tr w:rsidR="008675CA" w:rsidRPr="006517AE" w14:paraId="3DFDA899" w14:textId="77777777" w:rsidTr="0032259B">
        <w:trPr>
          <w:trHeight w:val="191"/>
        </w:trPr>
        <w:tc>
          <w:tcPr>
            <w:tcW w:w="1775" w:type="dxa"/>
            <w:tcBorders>
              <w:top w:val="nil"/>
              <w:left w:val="single" w:sz="4" w:space="0" w:color="auto"/>
              <w:bottom w:val="single" w:sz="4" w:space="0" w:color="auto"/>
              <w:right w:val="single" w:sz="4" w:space="0" w:color="auto"/>
            </w:tcBorders>
            <w:noWrap/>
            <w:vAlign w:val="center"/>
            <w:hideMark/>
          </w:tcPr>
          <w:p w14:paraId="286BA107" w14:textId="150EEF45" w:rsidR="00DA77FC" w:rsidRPr="006517AE" w:rsidRDefault="00DA77FC" w:rsidP="006517AE">
            <w:pPr>
              <w:spacing w:after="0" w:line="276" w:lineRule="auto"/>
              <w:jc w:val="both"/>
              <w:rPr>
                <w:rFonts w:asciiTheme="majorHAnsi" w:eastAsia="Times New Roman" w:hAnsiTheme="majorHAnsi" w:cs="Calibri"/>
                <w:sz w:val="20"/>
                <w:szCs w:val="20"/>
              </w:rPr>
            </w:pPr>
            <w:r w:rsidRPr="006517AE">
              <w:rPr>
                <w:rFonts w:asciiTheme="majorHAnsi" w:eastAsia="Times New Roman" w:hAnsiTheme="majorHAnsi" w:cs="Calibri"/>
                <w:sz w:val="20"/>
                <w:szCs w:val="20"/>
              </w:rPr>
              <w:lastRenderedPageBreak/>
              <w:t>R&amp;M Expenses</w:t>
            </w:r>
          </w:p>
        </w:tc>
        <w:tc>
          <w:tcPr>
            <w:tcW w:w="2337" w:type="dxa"/>
            <w:tcBorders>
              <w:top w:val="nil"/>
              <w:left w:val="nil"/>
              <w:bottom w:val="single" w:sz="4" w:space="0" w:color="auto"/>
              <w:right w:val="single" w:sz="4" w:space="0" w:color="auto"/>
            </w:tcBorders>
            <w:noWrap/>
            <w:vAlign w:val="center"/>
          </w:tcPr>
          <w:p w14:paraId="440D6149" w14:textId="5782A78F" w:rsidR="00DA77FC" w:rsidRPr="006517AE" w:rsidRDefault="009F1957" w:rsidP="006517AE">
            <w:pPr>
              <w:spacing w:after="0" w:line="276" w:lineRule="auto"/>
              <w:rPr>
                <w:rFonts w:asciiTheme="majorHAnsi" w:eastAsia="Times New Roman" w:hAnsiTheme="majorHAnsi" w:cs="Calibri"/>
                <w:sz w:val="20"/>
                <w:szCs w:val="20"/>
              </w:rPr>
            </w:pPr>
            <w:r w:rsidRPr="006517AE">
              <w:rPr>
                <w:rFonts w:asciiTheme="majorHAnsi" w:eastAsia="Times New Roman" w:hAnsiTheme="majorHAnsi" w:cs="Calibri"/>
                <w:sz w:val="20"/>
                <w:szCs w:val="20"/>
              </w:rPr>
              <w:t>7.48+(9.76*0.</w:t>
            </w:r>
            <w:r w:rsidR="00803A59" w:rsidRPr="006517AE">
              <w:rPr>
                <w:rFonts w:asciiTheme="majorHAnsi" w:eastAsia="Times New Roman" w:hAnsiTheme="majorHAnsi" w:cs="Calibri"/>
                <w:sz w:val="20"/>
                <w:szCs w:val="20"/>
              </w:rPr>
              <w:t>33)</w:t>
            </w:r>
            <w:r w:rsidRPr="006517AE">
              <w:rPr>
                <w:rFonts w:asciiTheme="majorHAnsi" w:eastAsia="Times New Roman" w:hAnsiTheme="majorHAnsi" w:cs="Calibri"/>
                <w:sz w:val="20"/>
                <w:szCs w:val="20"/>
              </w:rPr>
              <w:t>=</w:t>
            </w:r>
            <w:r w:rsidR="0032259B" w:rsidRPr="006517AE">
              <w:rPr>
                <w:rFonts w:asciiTheme="majorHAnsi" w:eastAsia="Times New Roman" w:hAnsiTheme="majorHAnsi" w:cs="Calibri"/>
                <w:sz w:val="20"/>
                <w:szCs w:val="20"/>
              </w:rPr>
              <w:t xml:space="preserve"> </w:t>
            </w:r>
            <w:r w:rsidRPr="006517AE">
              <w:rPr>
                <w:rFonts w:asciiTheme="majorHAnsi" w:eastAsia="Times New Roman" w:hAnsiTheme="majorHAnsi" w:cs="Calibri"/>
                <w:sz w:val="20"/>
                <w:szCs w:val="20"/>
              </w:rPr>
              <w:t>10.70</w:t>
            </w:r>
          </w:p>
        </w:tc>
        <w:tc>
          <w:tcPr>
            <w:tcW w:w="992" w:type="dxa"/>
            <w:vMerge/>
            <w:tcBorders>
              <w:top w:val="nil"/>
              <w:left w:val="single" w:sz="4" w:space="0" w:color="auto"/>
              <w:bottom w:val="single" w:sz="4" w:space="0" w:color="auto"/>
              <w:right w:val="single" w:sz="4" w:space="0" w:color="auto"/>
            </w:tcBorders>
            <w:vAlign w:val="center"/>
            <w:hideMark/>
          </w:tcPr>
          <w:p w14:paraId="5059FBE5" w14:textId="77777777" w:rsidR="00DA77FC" w:rsidRPr="006517AE" w:rsidRDefault="00DA77FC" w:rsidP="006517AE">
            <w:pPr>
              <w:spacing w:after="0" w:line="276" w:lineRule="auto"/>
              <w:rPr>
                <w:rFonts w:asciiTheme="majorHAnsi" w:eastAsia="Times New Roman" w:hAnsiTheme="majorHAnsi" w:cs="Calibri"/>
                <w:b/>
                <w:bCs/>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14:paraId="272159E2" w14:textId="77777777" w:rsidR="00DA77FC" w:rsidRPr="006517AE" w:rsidRDefault="00DA77FC" w:rsidP="006517AE">
            <w:pPr>
              <w:spacing w:after="0" w:line="276" w:lineRule="auto"/>
              <w:rPr>
                <w:rFonts w:asciiTheme="majorHAnsi" w:eastAsia="Times New Roman" w:hAnsiTheme="majorHAnsi" w:cs="Calibri"/>
                <w:b/>
                <w:sz w:val="20"/>
                <w:szCs w:val="20"/>
              </w:rPr>
            </w:pPr>
          </w:p>
        </w:tc>
        <w:tc>
          <w:tcPr>
            <w:tcW w:w="851" w:type="dxa"/>
            <w:vMerge/>
            <w:tcBorders>
              <w:left w:val="single" w:sz="4" w:space="0" w:color="auto"/>
              <w:right w:val="single" w:sz="4" w:space="0" w:color="auto"/>
            </w:tcBorders>
          </w:tcPr>
          <w:p w14:paraId="4581F6D6" w14:textId="77777777" w:rsidR="00DA77FC" w:rsidRPr="006517AE" w:rsidRDefault="00DA77FC" w:rsidP="006517AE">
            <w:pPr>
              <w:spacing w:after="0" w:line="276" w:lineRule="auto"/>
              <w:rPr>
                <w:rFonts w:asciiTheme="majorHAnsi" w:eastAsia="Times New Roman" w:hAnsiTheme="majorHAnsi" w:cs="Calibri"/>
                <w:b/>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14:paraId="25E75160" w14:textId="77777777" w:rsidR="00DA77FC" w:rsidRPr="006517AE" w:rsidRDefault="00DA77FC" w:rsidP="006517AE">
            <w:pPr>
              <w:spacing w:after="0" w:line="276" w:lineRule="auto"/>
              <w:rPr>
                <w:rFonts w:asciiTheme="majorHAnsi" w:eastAsia="Times New Roman" w:hAnsiTheme="majorHAnsi" w:cs="Calibri"/>
                <w:b/>
                <w:sz w:val="20"/>
                <w:szCs w:val="20"/>
              </w:rPr>
            </w:pPr>
          </w:p>
        </w:tc>
        <w:tc>
          <w:tcPr>
            <w:tcW w:w="1176" w:type="dxa"/>
            <w:vMerge/>
            <w:tcBorders>
              <w:left w:val="single" w:sz="4" w:space="0" w:color="auto"/>
              <w:right w:val="single" w:sz="4" w:space="0" w:color="auto"/>
            </w:tcBorders>
          </w:tcPr>
          <w:p w14:paraId="36299D5A" w14:textId="77777777" w:rsidR="00DA77FC" w:rsidRPr="006517AE" w:rsidRDefault="00DA77FC" w:rsidP="006517AE">
            <w:pPr>
              <w:spacing w:after="0" w:line="276" w:lineRule="auto"/>
              <w:rPr>
                <w:rFonts w:asciiTheme="majorHAnsi" w:eastAsia="Times New Roman" w:hAnsiTheme="majorHAnsi" w:cs="Calibri"/>
                <w:b/>
                <w:sz w:val="20"/>
                <w:szCs w:val="20"/>
              </w:rPr>
            </w:pPr>
          </w:p>
        </w:tc>
        <w:tc>
          <w:tcPr>
            <w:tcW w:w="904" w:type="dxa"/>
            <w:vMerge/>
            <w:tcBorders>
              <w:left w:val="single" w:sz="4" w:space="0" w:color="auto"/>
              <w:right w:val="single" w:sz="4" w:space="0" w:color="auto"/>
            </w:tcBorders>
          </w:tcPr>
          <w:p w14:paraId="7586587D" w14:textId="77777777" w:rsidR="00DA77FC" w:rsidRPr="006517AE" w:rsidRDefault="00DA77FC" w:rsidP="006517AE">
            <w:pPr>
              <w:spacing w:after="0" w:line="276" w:lineRule="auto"/>
              <w:rPr>
                <w:rFonts w:asciiTheme="majorHAnsi" w:eastAsia="Times New Roman" w:hAnsiTheme="majorHAnsi" w:cs="Calibri"/>
                <w:b/>
                <w:sz w:val="20"/>
                <w:szCs w:val="20"/>
              </w:rPr>
            </w:pPr>
          </w:p>
        </w:tc>
      </w:tr>
      <w:tr w:rsidR="008675CA" w:rsidRPr="006517AE" w14:paraId="527F908B" w14:textId="77777777" w:rsidTr="0032259B">
        <w:trPr>
          <w:trHeight w:val="191"/>
        </w:trPr>
        <w:tc>
          <w:tcPr>
            <w:tcW w:w="1775" w:type="dxa"/>
            <w:tcBorders>
              <w:top w:val="nil"/>
              <w:left w:val="single" w:sz="4" w:space="0" w:color="auto"/>
              <w:bottom w:val="single" w:sz="4" w:space="0" w:color="auto"/>
              <w:right w:val="single" w:sz="4" w:space="0" w:color="auto"/>
            </w:tcBorders>
            <w:noWrap/>
            <w:vAlign w:val="center"/>
            <w:hideMark/>
          </w:tcPr>
          <w:p w14:paraId="4739D2B8" w14:textId="77777777" w:rsidR="00DA77FC" w:rsidRPr="006517AE" w:rsidRDefault="00DA77FC" w:rsidP="006517AE">
            <w:pPr>
              <w:spacing w:after="0" w:line="276" w:lineRule="auto"/>
              <w:jc w:val="both"/>
              <w:rPr>
                <w:rFonts w:asciiTheme="majorHAnsi" w:eastAsia="Times New Roman" w:hAnsiTheme="majorHAnsi" w:cs="Calibri"/>
                <w:sz w:val="20"/>
                <w:szCs w:val="20"/>
              </w:rPr>
            </w:pPr>
            <w:r w:rsidRPr="006517AE">
              <w:rPr>
                <w:rFonts w:asciiTheme="majorHAnsi" w:eastAsia="Times New Roman" w:hAnsiTheme="majorHAnsi" w:cs="Calibri"/>
                <w:sz w:val="20"/>
                <w:szCs w:val="20"/>
              </w:rPr>
              <w:t>A&amp;G Expenses</w:t>
            </w:r>
          </w:p>
        </w:tc>
        <w:tc>
          <w:tcPr>
            <w:tcW w:w="2337" w:type="dxa"/>
            <w:tcBorders>
              <w:top w:val="nil"/>
              <w:left w:val="nil"/>
              <w:bottom w:val="single" w:sz="4" w:space="0" w:color="auto"/>
              <w:right w:val="single" w:sz="4" w:space="0" w:color="auto"/>
            </w:tcBorders>
            <w:noWrap/>
            <w:vAlign w:val="center"/>
          </w:tcPr>
          <w:p w14:paraId="1055AE38" w14:textId="4A62FABB" w:rsidR="00DA77FC" w:rsidRPr="006517AE" w:rsidRDefault="00803A59" w:rsidP="006517AE">
            <w:pPr>
              <w:spacing w:after="0" w:line="276" w:lineRule="auto"/>
              <w:rPr>
                <w:rFonts w:asciiTheme="majorHAnsi" w:eastAsia="Times New Roman" w:hAnsiTheme="majorHAnsi" w:cs="Calibri"/>
                <w:sz w:val="20"/>
                <w:szCs w:val="20"/>
              </w:rPr>
            </w:pPr>
            <w:r w:rsidRPr="006517AE">
              <w:rPr>
                <w:rFonts w:asciiTheme="majorHAnsi" w:eastAsia="Times New Roman" w:hAnsiTheme="majorHAnsi" w:cs="Calibri"/>
                <w:sz w:val="20"/>
                <w:szCs w:val="20"/>
              </w:rPr>
              <w:t>2.56+(0.37</w:t>
            </w:r>
            <w:r w:rsidR="009F1957" w:rsidRPr="006517AE">
              <w:rPr>
                <w:rFonts w:asciiTheme="majorHAnsi" w:eastAsia="Times New Roman" w:hAnsiTheme="majorHAnsi" w:cs="Calibri"/>
                <w:sz w:val="20"/>
                <w:szCs w:val="20"/>
              </w:rPr>
              <w:t>*0.33</w:t>
            </w:r>
            <w:r w:rsidRPr="006517AE">
              <w:rPr>
                <w:rFonts w:asciiTheme="majorHAnsi" w:eastAsia="Times New Roman" w:hAnsiTheme="majorHAnsi" w:cs="Calibri"/>
                <w:sz w:val="20"/>
                <w:szCs w:val="20"/>
              </w:rPr>
              <w:t>)</w:t>
            </w:r>
            <w:r w:rsidR="009F1957" w:rsidRPr="006517AE">
              <w:rPr>
                <w:rFonts w:asciiTheme="majorHAnsi" w:eastAsia="Times New Roman" w:hAnsiTheme="majorHAnsi" w:cs="Calibri"/>
                <w:sz w:val="20"/>
                <w:szCs w:val="20"/>
              </w:rPr>
              <w:t>=</w:t>
            </w:r>
            <w:r w:rsidR="0032259B" w:rsidRPr="006517AE">
              <w:rPr>
                <w:rFonts w:asciiTheme="majorHAnsi" w:eastAsia="Times New Roman" w:hAnsiTheme="majorHAnsi" w:cs="Calibri"/>
                <w:sz w:val="20"/>
                <w:szCs w:val="20"/>
              </w:rPr>
              <w:t xml:space="preserve"> </w:t>
            </w:r>
            <w:r w:rsidR="009F1957" w:rsidRPr="006517AE">
              <w:rPr>
                <w:rFonts w:asciiTheme="majorHAnsi" w:eastAsia="Times New Roman" w:hAnsiTheme="majorHAnsi" w:cs="Calibri"/>
                <w:sz w:val="20"/>
                <w:szCs w:val="20"/>
              </w:rPr>
              <w:t>2.68</w:t>
            </w:r>
          </w:p>
        </w:tc>
        <w:tc>
          <w:tcPr>
            <w:tcW w:w="992" w:type="dxa"/>
            <w:vMerge/>
            <w:tcBorders>
              <w:top w:val="nil"/>
              <w:left w:val="single" w:sz="4" w:space="0" w:color="auto"/>
              <w:bottom w:val="single" w:sz="4" w:space="0" w:color="auto"/>
              <w:right w:val="single" w:sz="4" w:space="0" w:color="auto"/>
            </w:tcBorders>
            <w:vAlign w:val="center"/>
            <w:hideMark/>
          </w:tcPr>
          <w:p w14:paraId="420957DC" w14:textId="77777777" w:rsidR="00DA77FC" w:rsidRPr="006517AE" w:rsidRDefault="00DA77FC" w:rsidP="006517AE">
            <w:pPr>
              <w:spacing w:after="0" w:line="276" w:lineRule="auto"/>
              <w:rPr>
                <w:rFonts w:asciiTheme="majorHAnsi" w:eastAsia="Times New Roman" w:hAnsiTheme="majorHAnsi" w:cs="Calibri"/>
                <w:b/>
                <w:bCs/>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14:paraId="7B7C71A1" w14:textId="77777777" w:rsidR="00DA77FC" w:rsidRPr="006517AE" w:rsidRDefault="00DA77FC" w:rsidP="006517AE">
            <w:pPr>
              <w:spacing w:after="0" w:line="276" w:lineRule="auto"/>
              <w:rPr>
                <w:rFonts w:asciiTheme="majorHAnsi" w:eastAsia="Times New Roman" w:hAnsiTheme="majorHAnsi" w:cs="Calibri"/>
                <w:b/>
                <w:sz w:val="20"/>
                <w:szCs w:val="20"/>
              </w:rPr>
            </w:pPr>
          </w:p>
        </w:tc>
        <w:tc>
          <w:tcPr>
            <w:tcW w:w="851" w:type="dxa"/>
            <w:vMerge/>
            <w:tcBorders>
              <w:left w:val="single" w:sz="4" w:space="0" w:color="auto"/>
              <w:right w:val="single" w:sz="4" w:space="0" w:color="auto"/>
            </w:tcBorders>
          </w:tcPr>
          <w:p w14:paraId="70201E1A" w14:textId="77777777" w:rsidR="00DA77FC" w:rsidRPr="006517AE" w:rsidRDefault="00DA77FC" w:rsidP="006517AE">
            <w:pPr>
              <w:spacing w:after="0" w:line="276" w:lineRule="auto"/>
              <w:rPr>
                <w:rFonts w:asciiTheme="majorHAnsi" w:eastAsia="Times New Roman" w:hAnsiTheme="majorHAnsi" w:cs="Calibri"/>
                <w:b/>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14:paraId="1B2FCBF3" w14:textId="77777777" w:rsidR="00DA77FC" w:rsidRPr="006517AE" w:rsidRDefault="00DA77FC" w:rsidP="006517AE">
            <w:pPr>
              <w:spacing w:after="0" w:line="276" w:lineRule="auto"/>
              <w:rPr>
                <w:rFonts w:asciiTheme="majorHAnsi" w:eastAsia="Times New Roman" w:hAnsiTheme="majorHAnsi" w:cs="Calibri"/>
                <w:b/>
                <w:sz w:val="20"/>
                <w:szCs w:val="20"/>
              </w:rPr>
            </w:pPr>
          </w:p>
        </w:tc>
        <w:tc>
          <w:tcPr>
            <w:tcW w:w="1176" w:type="dxa"/>
            <w:vMerge/>
            <w:tcBorders>
              <w:left w:val="single" w:sz="4" w:space="0" w:color="auto"/>
              <w:right w:val="single" w:sz="4" w:space="0" w:color="auto"/>
            </w:tcBorders>
          </w:tcPr>
          <w:p w14:paraId="13AFF08A" w14:textId="77777777" w:rsidR="00DA77FC" w:rsidRPr="006517AE" w:rsidRDefault="00DA77FC" w:rsidP="006517AE">
            <w:pPr>
              <w:spacing w:after="0" w:line="276" w:lineRule="auto"/>
              <w:rPr>
                <w:rFonts w:asciiTheme="majorHAnsi" w:eastAsia="Times New Roman" w:hAnsiTheme="majorHAnsi" w:cs="Calibri"/>
                <w:b/>
                <w:sz w:val="20"/>
                <w:szCs w:val="20"/>
              </w:rPr>
            </w:pPr>
          </w:p>
        </w:tc>
        <w:tc>
          <w:tcPr>
            <w:tcW w:w="904" w:type="dxa"/>
            <w:vMerge/>
            <w:tcBorders>
              <w:left w:val="single" w:sz="4" w:space="0" w:color="auto"/>
              <w:right w:val="single" w:sz="4" w:space="0" w:color="auto"/>
            </w:tcBorders>
          </w:tcPr>
          <w:p w14:paraId="5FAB87A4" w14:textId="77777777" w:rsidR="00DA77FC" w:rsidRPr="006517AE" w:rsidRDefault="00DA77FC" w:rsidP="006517AE">
            <w:pPr>
              <w:spacing w:after="0" w:line="276" w:lineRule="auto"/>
              <w:rPr>
                <w:rFonts w:asciiTheme="majorHAnsi" w:eastAsia="Times New Roman" w:hAnsiTheme="majorHAnsi" w:cs="Calibri"/>
                <w:b/>
                <w:sz w:val="20"/>
                <w:szCs w:val="20"/>
              </w:rPr>
            </w:pPr>
          </w:p>
        </w:tc>
      </w:tr>
      <w:tr w:rsidR="008675CA" w:rsidRPr="006517AE" w14:paraId="3F5AEA10" w14:textId="77777777" w:rsidTr="0032259B">
        <w:trPr>
          <w:trHeight w:val="191"/>
        </w:trPr>
        <w:tc>
          <w:tcPr>
            <w:tcW w:w="1775" w:type="dxa"/>
            <w:tcBorders>
              <w:top w:val="nil"/>
              <w:left w:val="single" w:sz="4" w:space="0" w:color="auto"/>
              <w:bottom w:val="single" w:sz="4" w:space="0" w:color="auto"/>
              <w:right w:val="single" w:sz="4" w:space="0" w:color="auto"/>
            </w:tcBorders>
            <w:noWrap/>
            <w:vAlign w:val="center"/>
            <w:hideMark/>
          </w:tcPr>
          <w:p w14:paraId="02D908E7" w14:textId="77777777" w:rsidR="00DA77FC" w:rsidRPr="006517AE" w:rsidRDefault="00DA77FC" w:rsidP="006517AE">
            <w:pPr>
              <w:spacing w:after="0" w:line="276" w:lineRule="auto"/>
              <w:jc w:val="both"/>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Total</w:t>
            </w:r>
          </w:p>
        </w:tc>
        <w:tc>
          <w:tcPr>
            <w:tcW w:w="2337" w:type="dxa"/>
            <w:tcBorders>
              <w:top w:val="nil"/>
              <w:left w:val="nil"/>
              <w:bottom w:val="single" w:sz="4" w:space="0" w:color="auto"/>
              <w:right w:val="single" w:sz="4" w:space="0" w:color="auto"/>
            </w:tcBorders>
            <w:noWrap/>
            <w:vAlign w:val="center"/>
            <w:hideMark/>
          </w:tcPr>
          <w:p w14:paraId="5B3748AE" w14:textId="0AA227E4" w:rsidR="00DA77FC" w:rsidRPr="006517AE" w:rsidRDefault="0032259B" w:rsidP="006517AE">
            <w:pPr>
              <w:spacing w:after="0" w:line="276" w:lineRule="auto"/>
              <w:jc w:val="center"/>
              <w:rPr>
                <w:rFonts w:asciiTheme="majorHAnsi" w:eastAsia="Times New Roman" w:hAnsiTheme="majorHAnsi" w:cs="Calibri"/>
                <w:b/>
                <w:bCs/>
                <w:sz w:val="20"/>
                <w:szCs w:val="20"/>
              </w:rPr>
            </w:pPr>
            <w:r w:rsidRPr="006517AE">
              <w:rPr>
                <w:rFonts w:asciiTheme="majorHAnsi" w:eastAsia="Times New Roman" w:hAnsiTheme="majorHAnsi" w:cs="Calibri"/>
                <w:b/>
                <w:bCs/>
                <w:sz w:val="20"/>
                <w:szCs w:val="20"/>
              </w:rPr>
              <w:t>162.79</w:t>
            </w:r>
          </w:p>
        </w:tc>
        <w:tc>
          <w:tcPr>
            <w:tcW w:w="992" w:type="dxa"/>
            <w:vMerge/>
            <w:tcBorders>
              <w:top w:val="nil"/>
              <w:left w:val="single" w:sz="4" w:space="0" w:color="auto"/>
              <w:bottom w:val="single" w:sz="4" w:space="0" w:color="auto"/>
              <w:right w:val="single" w:sz="4" w:space="0" w:color="auto"/>
            </w:tcBorders>
            <w:vAlign w:val="center"/>
            <w:hideMark/>
          </w:tcPr>
          <w:p w14:paraId="72EC0EFB" w14:textId="77777777" w:rsidR="00DA77FC" w:rsidRPr="006517AE" w:rsidRDefault="00DA77FC" w:rsidP="006517AE">
            <w:pPr>
              <w:spacing w:after="0" w:line="276" w:lineRule="auto"/>
              <w:rPr>
                <w:rFonts w:asciiTheme="majorHAnsi" w:eastAsia="Times New Roman" w:hAnsiTheme="majorHAnsi" w:cs="Calibri"/>
                <w:b/>
                <w:bCs/>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14:paraId="6507A6DF" w14:textId="77777777" w:rsidR="00DA77FC" w:rsidRPr="006517AE" w:rsidRDefault="00DA77FC" w:rsidP="006517AE">
            <w:pPr>
              <w:spacing w:after="0" w:line="276" w:lineRule="auto"/>
              <w:rPr>
                <w:rFonts w:asciiTheme="majorHAnsi" w:eastAsia="Times New Roman" w:hAnsiTheme="majorHAnsi" w:cs="Calibri"/>
                <w:b/>
                <w:sz w:val="20"/>
                <w:szCs w:val="20"/>
              </w:rPr>
            </w:pPr>
          </w:p>
        </w:tc>
        <w:tc>
          <w:tcPr>
            <w:tcW w:w="851" w:type="dxa"/>
            <w:vMerge/>
            <w:tcBorders>
              <w:left w:val="single" w:sz="4" w:space="0" w:color="auto"/>
              <w:bottom w:val="single" w:sz="4" w:space="0" w:color="000000"/>
              <w:right w:val="single" w:sz="4" w:space="0" w:color="auto"/>
            </w:tcBorders>
          </w:tcPr>
          <w:p w14:paraId="7199A43B" w14:textId="77777777" w:rsidR="00DA77FC" w:rsidRPr="006517AE" w:rsidRDefault="00DA77FC" w:rsidP="006517AE">
            <w:pPr>
              <w:spacing w:after="0" w:line="276" w:lineRule="auto"/>
              <w:rPr>
                <w:rFonts w:asciiTheme="majorHAnsi" w:eastAsia="Times New Roman" w:hAnsiTheme="majorHAnsi" w:cs="Calibri"/>
                <w:b/>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14:paraId="2E3E68DD" w14:textId="77777777" w:rsidR="00DA77FC" w:rsidRPr="006517AE" w:rsidRDefault="00DA77FC" w:rsidP="006517AE">
            <w:pPr>
              <w:spacing w:after="0" w:line="276" w:lineRule="auto"/>
              <w:rPr>
                <w:rFonts w:asciiTheme="majorHAnsi" w:eastAsia="Times New Roman" w:hAnsiTheme="majorHAnsi" w:cs="Calibri"/>
                <w:b/>
                <w:sz w:val="20"/>
                <w:szCs w:val="20"/>
              </w:rPr>
            </w:pPr>
          </w:p>
        </w:tc>
        <w:tc>
          <w:tcPr>
            <w:tcW w:w="1176" w:type="dxa"/>
            <w:vMerge/>
            <w:tcBorders>
              <w:left w:val="single" w:sz="4" w:space="0" w:color="auto"/>
              <w:bottom w:val="single" w:sz="4" w:space="0" w:color="000000"/>
              <w:right w:val="single" w:sz="4" w:space="0" w:color="auto"/>
            </w:tcBorders>
          </w:tcPr>
          <w:p w14:paraId="2B49C2D3" w14:textId="77777777" w:rsidR="00DA77FC" w:rsidRPr="006517AE" w:rsidRDefault="00DA77FC" w:rsidP="006517AE">
            <w:pPr>
              <w:spacing w:after="0" w:line="276" w:lineRule="auto"/>
              <w:rPr>
                <w:rFonts w:asciiTheme="majorHAnsi" w:eastAsia="Times New Roman" w:hAnsiTheme="majorHAnsi" w:cs="Calibri"/>
                <w:b/>
                <w:sz w:val="20"/>
                <w:szCs w:val="20"/>
              </w:rPr>
            </w:pPr>
          </w:p>
        </w:tc>
        <w:tc>
          <w:tcPr>
            <w:tcW w:w="904" w:type="dxa"/>
            <w:vMerge/>
            <w:tcBorders>
              <w:left w:val="single" w:sz="4" w:space="0" w:color="auto"/>
              <w:bottom w:val="single" w:sz="4" w:space="0" w:color="000000"/>
              <w:right w:val="single" w:sz="4" w:space="0" w:color="auto"/>
            </w:tcBorders>
          </w:tcPr>
          <w:p w14:paraId="47C3D8A4" w14:textId="77777777" w:rsidR="00DA77FC" w:rsidRPr="006517AE" w:rsidRDefault="00DA77FC" w:rsidP="006517AE">
            <w:pPr>
              <w:spacing w:after="0" w:line="276" w:lineRule="auto"/>
              <w:rPr>
                <w:rFonts w:asciiTheme="majorHAnsi" w:eastAsia="Times New Roman" w:hAnsiTheme="majorHAnsi" w:cs="Calibri"/>
                <w:b/>
                <w:sz w:val="20"/>
                <w:szCs w:val="20"/>
              </w:rPr>
            </w:pPr>
          </w:p>
        </w:tc>
      </w:tr>
    </w:tbl>
    <w:p w14:paraId="2675521C" w14:textId="64737E71" w:rsidR="00C72BE6" w:rsidRDefault="008A1D73" w:rsidP="00C72BE6">
      <w:pPr>
        <w:spacing w:after="0"/>
        <w:jc w:val="both"/>
        <w:rPr>
          <w:rFonts w:asciiTheme="majorHAnsi" w:hAnsiTheme="majorHAnsi"/>
        </w:rPr>
      </w:pPr>
      <w:r>
        <w:rPr>
          <w:rFonts w:asciiTheme="majorHAnsi" w:hAnsiTheme="majorHAnsi"/>
        </w:rPr>
        <w:t>*MeECL Pension Trust Fund for FY=2020-21 attached at Annexure</w:t>
      </w:r>
      <w:r w:rsidR="006517AE">
        <w:rPr>
          <w:rFonts w:asciiTheme="majorHAnsi" w:hAnsiTheme="majorHAnsi"/>
        </w:rPr>
        <w:t xml:space="preserve"> B</w:t>
      </w:r>
      <w:r>
        <w:rPr>
          <w:rFonts w:asciiTheme="majorHAnsi" w:hAnsiTheme="majorHAnsi"/>
        </w:rPr>
        <w:t xml:space="preserve">  </w:t>
      </w:r>
    </w:p>
    <w:p w14:paraId="1A30FD56" w14:textId="77777777" w:rsidR="006517AE" w:rsidRDefault="006517AE" w:rsidP="00C72BE6">
      <w:pPr>
        <w:spacing w:after="0"/>
        <w:jc w:val="both"/>
        <w:rPr>
          <w:rFonts w:asciiTheme="majorHAnsi" w:hAnsiTheme="majorHAnsi"/>
        </w:rPr>
      </w:pPr>
    </w:p>
    <w:p w14:paraId="677B2156" w14:textId="28D2742E" w:rsidR="00DA77FC" w:rsidRPr="008675CA" w:rsidRDefault="00DA77FC" w:rsidP="00DA77FC">
      <w:pPr>
        <w:spacing w:after="0"/>
        <w:jc w:val="both"/>
        <w:rPr>
          <w:rFonts w:asciiTheme="majorHAnsi" w:hAnsiTheme="majorHAnsi"/>
        </w:rPr>
      </w:pPr>
      <w:r w:rsidRPr="000E6CAB">
        <w:rPr>
          <w:rFonts w:asciiTheme="majorHAnsi" w:hAnsiTheme="majorHAnsi"/>
          <w:b/>
        </w:rPr>
        <w:t>Hence, MePGCL prays before the Hon’ble Commission to kindly allow the additional claim for O&amp;M Expenses for old plants including Sonapani</w:t>
      </w:r>
      <w:r w:rsidR="0057523F" w:rsidRPr="000E6CAB">
        <w:rPr>
          <w:rFonts w:asciiTheme="majorHAnsi" w:hAnsiTheme="majorHAnsi"/>
          <w:b/>
        </w:rPr>
        <w:t xml:space="preserve"> </w:t>
      </w:r>
      <w:r w:rsidRPr="000E6CAB">
        <w:rPr>
          <w:rFonts w:asciiTheme="majorHAnsi" w:hAnsiTheme="majorHAnsi"/>
          <w:b/>
        </w:rPr>
        <w:t>of</w:t>
      </w:r>
      <w:r w:rsidR="0057523F" w:rsidRPr="000E6CAB">
        <w:rPr>
          <w:rFonts w:asciiTheme="majorHAnsi" w:hAnsiTheme="majorHAnsi"/>
          <w:b/>
        </w:rPr>
        <w:t xml:space="preserve"> </w:t>
      </w:r>
      <w:r w:rsidR="00B23401" w:rsidRPr="000E6CAB">
        <w:rPr>
          <w:rFonts w:asciiTheme="majorHAnsi" w:hAnsiTheme="majorHAnsi"/>
          <w:b/>
        </w:rPr>
        <w:t>Rs.</w:t>
      </w:r>
      <w:r w:rsidR="0032259B">
        <w:rPr>
          <w:rFonts w:asciiTheme="majorHAnsi" w:hAnsiTheme="majorHAnsi"/>
          <w:b/>
        </w:rPr>
        <w:t>109.64</w:t>
      </w:r>
      <w:r w:rsidRPr="000E6CAB">
        <w:rPr>
          <w:rFonts w:asciiTheme="majorHAnsi" w:hAnsiTheme="majorHAnsi"/>
          <w:b/>
        </w:rPr>
        <w:t xml:space="preserve"> Cr. for FY 20</w:t>
      </w:r>
      <w:r w:rsidR="00B23401" w:rsidRPr="000E6CAB">
        <w:rPr>
          <w:rFonts w:asciiTheme="majorHAnsi" w:hAnsiTheme="majorHAnsi"/>
          <w:b/>
        </w:rPr>
        <w:t>20</w:t>
      </w:r>
      <w:r w:rsidRPr="000E6CAB">
        <w:rPr>
          <w:rFonts w:asciiTheme="majorHAnsi" w:hAnsiTheme="majorHAnsi"/>
          <w:b/>
        </w:rPr>
        <w:t>-2</w:t>
      </w:r>
      <w:r w:rsidR="00DA7BE6" w:rsidRPr="000E6CAB">
        <w:rPr>
          <w:rFonts w:asciiTheme="majorHAnsi" w:hAnsiTheme="majorHAnsi"/>
          <w:b/>
        </w:rPr>
        <w:t xml:space="preserve">1 </w:t>
      </w:r>
      <w:r w:rsidRPr="000E6CAB">
        <w:rPr>
          <w:rFonts w:asciiTheme="majorHAnsi" w:hAnsiTheme="majorHAnsi"/>
          <w:b/>
        </w:rPr>
        <w:t xml:space="preserve">as given in the table </w:t>
      </w:r>
      <w:r w:rsidR="00BB740F" w:rsidRPr="000E6CAB">
        <w:rPr>
          <w:rFonts w:asciiTheme="majorHAnsi" w:hAnsiTheme="majorHAnsi"/>
          <w:b/>
        </w:rPr>
        <w:t>above</w:t>
      </w:r>
      <w:r w:rsidR="00BB740F" w:rsidRPr="008675CA">
        <w:rPr>
          <w:rFonts w:asciiTheme="majorHAnsi" w:hAnsiTheme="majorHAnsi"/>
        </w:rPr>
        <w:t>.</w:t>
      </w:r>
    </w:p>
    <w:p w14:paraId="79BAC937" w14:textId="77777777" w:rsidR="00DA77FC" w:rsidRPr="008675CA" w:rsidRDefault="00DA77FC" w:rsidP="00DA77FC">
      <w:pPr>
        <w:spacing w:after="0"/>
        <w:ind w:left="360"/>
        <w:jc w:val="both"/>
        <w:rPr>
          <w:rFonts w:asciiTheme="majorHAnsi" w:hAnsiTheme="majorHAnsi"/>
        </w:rPr>
      </w:pPr>
    </w:p>
    <w:p w14:paraId="0DC62F2E" w14:textId="77777777" w:rsidR="00DA77FC" w:rsidRPr="008675CA" w:rsidRDefault="00372DCD" w:rsidP="00DA77FC">
      <w:pPr>
        <w:pStyle w:val="head2"/>
        <w:spacing w:before="0" w:after="0"/>
        <w:ind w:left="0" w:firstLine="0"/>
        <w:rPr>
          <w:rFonts w:asciiTheme="majorHAnsi" w:hAnsiTheme="majorHAnsi"/>
        </w:rPr>
      </w:pPr>
      <w:bookmarkStart w:id="57" w:name="_Toc102318572"/>
      <w:r w:rsidRPr="008675CA">
        <w:rPr>
          <w:rFonts w:asciiTheme="majorHAnsi" w:hAnsiTheme="majorHAnsi"/>
        </w:rPr>
        <w:t>2</w:t>
      </w:r>
      <w:r w:rsidR="00DA77FC" w:rsidRPr="008675CA">
        <w:rPr>
          <w:rFonts w:asciiTheme="majorHAnsi" w:hAnsiTheme="majorHAnsi"/>
        </w:rPr>
        <w:t>.5.5. Interest and Finance Charges</w:t>
      </w:r>
      <w:bookmarkEnd w:id="57"/>
    </w:p>
    <w:p w14:paraId="070CB648" w14:textId="77777777" w:rsidR="00DA77FC" w:rsidRPr="00D93FFB" w:rsidRDefault="00DA77FC" w:rsidP="00DA77FC">
      <w:pPr>
        <w:spacing w:after="0"/>
        <w:jc w:val="both"/>
        <w:rPr>
          <w:rFonts w:asciiTheme="majorHAnsi" w:hAnsiTheme="majorHAnsi"/>
          <w:b/>
        </w:rPr>
      </w:pPr>
      <w:r w:rsidRPr="008675CA">
        <w:rPr>
          <w:rFonts w:asciiTheme="majorHAnsi" w:eastAsia="Arial" w:hAnsiTheme="majorHAnsi"/>
          <w:lang w:eastAsia="en-IN"/>
        </w:rPr>
        <w:t xml:space="preserve">The Hon’ble Commission in its True Up order for FY </w:t>
      </w:r>
      <w:r w:rsidR="00DA7BE6" w:rsidRPr="008675CA">
        <w:rPr>
          <w:rFonts w:asciiTheme="majorHAnsi" w:eastAsia="Arial" w:hAnsiTheme="majorHAnsi"/>
          <w:lang w:eastAsia="en-IN"/>
        </w:rPr>
        <w:t>2020-21</w:t>
      </w:r>
      <w:r w:rsidRPr="008675CA">
        <w:rPr>
          <w:rFonts w:asciiTheme="majorHAnsi" w:eastAsia="Arial" w:hAnsiTheme="majorHAnsi"/>
          <w:lang w:eastAsia="en-IN"/>
        </w:rPr>
        <w:t xml:space="preserve"> has considered the Interest and Finance Charges for old stations including Sonapani</w:t>
      </w:r>
      <w:r w:rsidR="0057523F" w:rsidRPr="008675CA">
        <w:rPr>
          <w:rFonts w:asciiTheme="majorHAnsi" w:eastAsia="Arial" w:hAnsiTheme="majorHAnsi"/>
          <w:lang w:eastAsia="en-IN"/>
        </w:rPr>
        <w:t xml:space="preserve"> </w:t>
      </w:r>
      <w:r w:rsidRPr="008675CA">
        <w:rPr>
          <w:rFonts w:asciiTheme="majorHAnsi" w:eastAsia="Arial" w:hAnsiTheme="majorHAnsi"/>
          <w:b/>
          <w:lang w:eastAsia="en-IN"/>
        </w:rPr>
        <w:t>as NIL.</w:t>
      </w:r>
      <w:r w:rsidRPr="008675CA">
        <w:rPr>
          <w:rFonts w:asciiTheme="majorHAnsi" w:eastAsia="Arial" w:hAnsiTheme="majorHAnsi"/>
          <w:lang w:eastAsia="en-IN"/>
        </w:rPr>
        <w:t xml:space="preserve"> Moreover, t</w:t>
      </w:r>
      <w:r w:rsidRPr="008675CA">
        <w:rPr>
          <w:rFonts w:asciiTheme="majorHAnsi" w:hAnsiTheme="majorHAnsi"/>
        </w:rPr>
        <w:t xml:space="preserve">he Hon’ble Commission has not considered the IFC of holding company. </w:t>
      </w:r>
      <w:r w:rsidRPr="00D93FFB">
        <w:rPr>
          <w:rFonts w:asciiTheme="majorHAnsi" w:hAnsiTheme="majorHAnsi"/>
          <w:b/>
        </w:rPr>
        <w:t>This is contrary to its approach in the O&amp;M and other income head, where apportionment of MeECL expenses has been taken into account for calculation.</w:t>
      </w:r>
    </w:p>
    <w:p w14:paraId="0DB98EF9" w14:textId="77777777" w:rsidR="00DA77FC" w:rsidRPr="008675CA" w:rsidRDefault="00DA77FC" w:rsidP="00DA77FC">
      <w:pPr>
        <w:spacing w:after="0"/>
        <w:ind w:left="360"/>
        <w:jc w:val="both"/>
        <w:rPr>
          <w:rFonts w:asciiTheme="majorHAnsi" w:hAnsiTheme="majorHAnsi"/>
        </w:rPr>
      </w:pPr>
    </w:p>
    <w:p w14:paraId="22AE9D62" w14:textId="77777777" w:rsidR="00DA77FC" w:rsidRPr="008675CA" w:rsidRDefault="00DA77FC" w:rsidP="00DA77FC">
      <w:pPr>
        <w:spacing w:after="0"/>
        <w:jc w:val="both"/>
        <w:rPr>
          <w:rFonts w:asciiTheme="majorHAnsi" w:eastAsia="Arial" w:hAnsiTheme="majorHAnsi"/>
          <w:lang w:eastAsia="en-IN"/>
        </w:rPr>
      </w:pPr>
      <w:r w:rsidRPr="008675CA">
        <w:rPr>
          <w:rFonts w:asciiTheme="majorHAnsi" w:eastAsia="Arial" w:hAnsiTheme="majorHAnsi"/>
          <w:lang w:eastAsia="en-IN"/>
        </w:rPr>
        <w:t xml:space="preserve">MePGCL requests the Hon’ble Commission to kindly consider the additional amount of </w:t>
      </w:r>
      <w:r w:rsidR="00DA7BE6" w:rsidRPr="008675CA">
        <w:rPr>
          <w:rFonts w:asciiTheme="majorHAnsi" w:eastAsia="Arial" w:hAnsiTheme="majorHAnsi"/>
          <w:lang w:eastAsia="en-IN"/>
        </w:rPr>
        <w:t>Rs.14.82</w:t>
      </w:r>
      <w:r w:rsidRPr="008675CA">
        <w:rPr>
          <w:rFonts w:asciiTheme="majorHAnsi" w:eastAsia="Arial" w:hAnsiTheme="majorHAnsi"/>
          <w:lang w:eastAsia="en-IN"/>
        </w:rPr>
        <w:t xml:space="preserve"> Cr. in review of true up order as shown below:</w:t>
      </w:r>
    </w:p>
    <w:p w14:paraId="1FD8718D" w14:textId="77777777" w:rsidR="00DA77FC" w:rsidRPr="008675CA" w:rsidRDefault="00DA77FC" w:rsidP="00DA77FC">
      <w:pPr>
        <w:spacing w:after="0"/>
        <w:jc w:val="both"/>
        <w:rPr>
          <w:rFonts w:asciiTheme="majorHAnsi" w:eastAsia="Arial" w:hAnsiTheme="majorHAnsi"/>
          <w:lang w:eastAsia="en-IN"/>
        </w:rPr>
      </w:pPr>
    </w:p>
    <w:p w14:paraId="1574326F" w14:textId="77777777" w:rsidR="00E61C51" w:rsidRDefault="00DA77FC" w:rsidP="00DA77FC">
      <w:pPr>
        <w:pStyle w:val="Caption"/>
        <w:keepNext/>
        <w:spacing w:after="0"/>
        <w:rPr>
          <w:rFonts w:asciiTheme="majorHAnsi" w:eastAsia="Times New Roman" w:hAnsiTheme="majorHAnsi" w:cs="Times New Roman"/>
          <w:b/>
          <w:bCs/>
          <w:i w:val="0"/>
          <w:iCs w:val="0"/>
          <w:color w:val="auto"/>
          <w:sz w:val="22"/>
          <w:szCs w:val="22"/>
          <w:lang w:val="en-GB"/>
        </w:rPr>
      </w:pPr>
      <w:r w:rsidRPr="008675CA">
        <w:rPr>
          <w:rFonts w:asciiTheme="majorHAnsi" w:hAnsiTheme="majorHAnsi"/>
          <w:b/>
          <w:i w:val="0"/>
          <w:color w:val="auto"/>
          <w:sz w:val="22"/>
          <w:szCs w:val="22"/>
        </w:rPr>
        <w:t xml:space="preserve">Table </w:t>
      </w:r>
      <w:r w:rsidR="00104302" w:rsidRPr="008675CA">
        <w:rPr>
          <w:rFonts w:asciiTheme="majorHAnsi" w:hAnsiTheme="majorHAnsi"/>
          <w:b/>
          <w:i w:val="0"/>
          <w:color w:val="auto"/>
          <w:sz w:val="22"/>
          <w:szCs w:val="22"/>
        </w:rPr>
        <w:t>2</w:t>
      </w:r>
      <w:r w:rsidR="000E6CAB">
        <w:rPr>
          <w:rFonts w:asciiTheme="majorHAnsi" w:hAnsiTheme="majorHAnsi"/>
          <w:b/>
          <w:i w:val="0"/>
          <w:color w:val="auto"/>
          <w:sz w:val="22"/>
          <w:szCs w:val="22"/>
        </w:rPr>
        <w:t>3</w:t>
      </w:r>
      <w:r w:rsidRPr="008675CA">
        <w:rPr>
          <w:rFonts w:asciiTheme="majorHAnsi" w:hAnsiTheme="majorHAnsi"/>
          <w:b/>
          <w:i w:val="0"/>
          <w:color w:val="auto"/>
          <w:sz w:val="22"/>
          <w:szCs w:val="22"/>
        </w:rPr>
        <w:t xml:space="preserve">: Additional </w:t>
      </w:r>
      <w:r w:rsidRPr="008675CA">
        <w:rPr>
          <w:rFonts w:asciiTheme="majorHAnsi" w:eastAsia="Times New Roman" w:hAnsiTheme="majorHAnsi" w:cs="Times New Roman"/>
          <w:b/>
          <w:bCs/>
          <w:i w:val="0"/>
          <w:iCs w:val="0"/>
          <w:color w:val="auto"/>
          <w:sz w:val="22"/>
          <w:szCs w:val="22"/>
          <w:lang w:val="en-GB"/>
        </w:rPr>
        <w:t xml:space="preserve">IFC </w:t>
      </w:r>
      <w:r w:rsidRPr="008675CA">
        <w:rPr>
          <w:rFonts w:asciiTheme="majorHAnsi" w:hAnsiTheme="majorHAnsi"/>
          <w:b/>
          <w:i w:val="0"/>
          <w:color w:val="auto"/>
          <w:sz w:val="22"/>
          <w:szCs w:val="22"/>
        </w:rPr>
        <w:t xml:space="preserve">Claim of </w:t>
      </w:r>
      <w:r w:rsidR="000E6CAB">
        <w:rPr>
          <w:rFonts w:asciiTheme="majorHAnsi" w:hAnsiTheme="majorHAnsi"/>
          <w:b/>
          <w:i w:val="0"/>
          <w:color w:val="auto"/>
          <w:sz w:val="22"/>
          <w:szCs w:val="22"/>
        </w:rPr>
        <w:t xml:space="preserve">Old station including Sonapani </w:t>
      </w:r>
      <w:r w:rsidRPr="008675CA">
        <w:rPr>
          <w:rFonts w:asciiTheme="majorHAnsi" w:eastAsia="Times New Roman" w:hAnsiTheme="majorHAnsi" w:cs="Times New Roman"/>
          <w:b/>
          <w:bCs/>
          <w:i w:val="0"/>
          <w:iCs w:val="0"/>
          <w:color w:val="auto"/>
          <w:sz w:val="22"/>
          <w:szCs w:val="22"/>
          <w:lang w:val="en-GB"/>
        </w:rPr>
        <w:t xml:space="preserve">Based on Revised </w:t>
      </w:r>
      <w:r w:rsidR="00E61C51">
        <w:rPr>
          <w:rFonts w:asciiTheme="majorHAnsi" w:eastAsia="Times New Roman" w:hAnsiTheme="majorHAnsi" w:cs="Times New Roman"/>
          <w:b/>
          <w:bCs/>
          <w:i w:val="0"/>
          <w:iCs w:val="0"/>
          <w:color w:val="auto"/>
          <w:sz w:val="22"/>
          <w:szCs w:val="22"/>
          <w:lang w:val="en-GB"/>
        </w:rPr>
        <w:t xml:space="preserve">  </w:t>
      </w:r>
    </w:p>
    <w:p w14:paraId="4D88E37F" w14:textId="3F5D0439" w:rsidR="00DA77FC" w:rsidRDefault="00E61C51" w:rsidP="00DA77FC">
      <w:pPr>
        <w:pStyle w:val="Caption"/>
        <w:keepNext/>
        <w:spacing w:after="0"/>
        <w:rPr>
          <w:rFonts w:asciiTheme="majorHAnsi" w:eastAsia="Times New Roman" w:hAnsiTheme="majorHAnsi" w:cs="Times New Roman"/>
          <w:b/>
          <w:bCs/>
          <w:i w:val="0"/>
          <w:iCs w:val="0"/>
          <w:color w:val="auto"/>
          <w:sz w:val="22"/>
          <w:szCs w:val="22"/>
          <w:lang w:val="en-GB"/>
        </w:rPr>
      </w:pPr>
      <w:r>
        <w:rPr>
          <w:rFonts w:asciiTheme="majorHAnsi" w:eastAsia="Times New Roman" w:hAnsiTheme="majorHAnsi" w:cs="Times New Roman"/>
          <w:b/>
          <w:bCs/>
          <w:i w:val="0"/>
          <w:iCs w:val="0"/>
          <w:color w:val="auto"/>
          <w:sz w:val="22"/>
          <w:szCs w:val="22"/>
          <w:lang w:val="en-GB"/>
        </w:rPr>
        <w:t xml:space="preserve">                   </w:t>
      </w:r>
      <w:r w:rsidR="00DA77FC" w:rsidRPr="008675CA">
        <w:rPr>
          <w:rFonts w:asciiTheme="majorHAnsi" w:eastAsia="Times New Roman" w:hAnsiTheme="majorHAnsi" w:cs="Times New Roman"/>
          <w:b/>
          <w:bCs/>
          <w:i w:val="0"/>
          <w:iCs w:val="0"/>
          <w:color w:val="auto"/>
          <w:sz w:val="22"/>
          <w:szCs w:val="22"/>
          <w:lang w:val="en-GB"/>
        </w:rPr>
        <w:t>Components (</w:t>
      </w:r>
      <w:r w:rsidR="00DA7BE6" w:rsidRPr="008675CA">
        <w:rPr>
          <w:rFonts w:asciiTheme="majorHAnsi" w:eastAsia="Times New Roman" w:hAnsiTheme="majorHAnsi" w:cs="Times New Roman"/>
          <w:b/>
          <w:bCs/>
          <w:i w:val="0"/>
          <w:iCs w:val="0"/>
          <w:color w:val="auto"/>
          <w:sz w:val="22"/>
          <w:szCs w:val="22"/>
          <w:lang w:val="en-GB"/>
        </w:rPr>
        <w:t>Rs in</w:t>
      </w:r>
      <w:r w:rsidR="00DA77FC" w:rsidRPr="008675CA">
        <w:rPr>
          <w:rFonts w:asciiTheme="majorHAnsi" w:eastAsia="Times New Roman" w:hAnsiTheme="majorHAnsi" w:cs="Times New Roman"/>
          <w:b/>
          <w:bCs/>
          <w:i w:val="0"/>
          <w:iCs w:val="0"/>
          <w:color w:val="auto"/>
          <w:sz w:val="22"/>
          <w:szCs w:val="22"/>
          <w:lang w:val="en-GB"/>
        </w:rPr>
        <w:t xml:space="preserve"> Cr.)</w:t>
      </w:r>
    </w:p>
    <w:tbl>
      <w:tblPr>
        <w:tblStyle w:val="TableGrid2"/>
        <w:tblW w:w="4840" w:type="pct"/>
        <w:tblInd w:w="108" w:type="dxa"/>
        <w:tblLook w:val="04A0" w:firstRow="1" w:lastRow="0" w:firstColumn="1" w:lastColumn="0" w:noHBand="0" w:noVBand="1"/>
      </w:tblPr>
      <w:tblGrid>
        <w:gridCol w:w="7595"/>
        <w:gridCol w:w="1923"/>
      </w:tblGrid>
      <w:tr w:rsidR="00BB740F" w:rsidRPr="008675CA" w14:paraId="03DE00F7" w14:textId="77777777" w:rsidTr="00BB740F">
        <w:trPr>
          <w:trHeight w:val="246"/>
          <w:tblHeader/>
        </w:trPr>
        <w:tc>
          <w:tcPr>
            <w:tcW w:w="3990" w:type="pct"/>
            <w:shd w:val="clear" w:color="auto" w:fill="D9D9D9" w:themeFill="background1" w:themeFillShade="D9"/>
          </w:tcPr>
          <w:p w14:paraId="178C5E99" w14:textId="77777777" w:rsidR="00BB740F" w:rsidRPr="008675CA" w:rsidRDefault="00BB740F" w:rsidP="003D4573">
            <w:pPr>
              <w:rPr>
                <w:rFonts w:asciiTheme="majorHAnsi" w:eastAsia="Arial" w:hAnsiTheme="majorHAnsi" w:cs="Times New Roman"/>
                <w:b/>
                <w:lang w:eastAsia="en-IN"/>
              </w:rPr>
            </w:pPr>
            <w:r w:rsidRPr="008675CA">
              <w:rPr>
                <w:rFonts w:asciiTheme="majorHAnsi" w:eastAsia="Arial" w:hAnsiTheme="majorHAnsi" w:cs="Times New Roman"/>
                <w:b/>
                <w:lang w:eastAsia="en-IN"/>
              </w:rPr>
              <w:t>Particulars</w:t>
            </w:r>
          </w:p>
        </w:tc>
        <w:tc>
          <w:tcPr>
            <w:tcW w:w="1010" w:type="pct"/>
            <w:shd w:val="clear" w:color="auto" w:fill="D9D9D9" w:themeFill="background1" w:themeFillShade="D9"/>
          </w:tcPr>
          <w:p w14:paraId="7F15D6CA" w14:textId="77777777" w:rsidR="00BB740F" w:rsidRPr="008675CA" w:rsidRDefault="00BB740F" w:rsidP="00DA7BE6">
            <w:pPr>
              <w:jc w:val="center"/>
              <w:rPr>
                <w:rFonts w:asciiTheme="majorHAnsi" w:eastAsia="Arial" w:hAnsiTheme="majorHAnsi" w:cs="Times New Roman"/>
                <w:b/>
                <w:lang w:eastAsia="en-IN"/>
              </w:rPr>
            </w:pPr>
            <w:r w:rsidRPr="008675CA">
              <w:rPr>
                <w:rFonts w:asciiTheme="majorHAnsi" w:eastAsia="Arial" w:hAnsiTheme="majorHAnsi" w:cs="Times New Roman"/>
                <w:b/>
                <w:lang w:eastAsia="en-IN"/>
              </w:rPr>
              <w:t xml:space="preserve">FY </w:t>
            </w:r>
            <w:r w:rsidR="00DA7BE6" w:rsidRPr="008675CA">
              <w:rPr>
                <w:rFonts w:asciiTheme="majorHAnsi" w:eastAsia="Arial" w:hAnsiTheme="majorHAnsi" w:cs="Times New Roman"/>
                <w:b/>
                <w:lang w:eastAsia="en-IN"/>
              </w:rPr>
              <w:t>2020-21</w:t>
            </w:r>
          </w:p>
        </w:tc>
      </w:tr>
      <w:tr w:rsidR="00BB740F" w:rsidRPr="008675CA" w14:paraId="65838695" w14:textId="77777777" w:rsidTr="00BB740F">
        <w:trPr>
          <w:trHeight w:val="479"/>
        </w:trPr>
        <w:tc>
          <w:tcPr>
            <w:tcW w:w="3990" w:type="pct"/>
          </w:tcPr>
          <w:p w14:paraId="76D7C7B0" w14:textId="77777777" w:rsidR="00BB740F" w:rsidRPr="008675CA" w:rsidRDefault="00BB740F" w:rsidP="003D4573">
            <w:pPr>
              <w:rPr>
                <w:rFonts w:asciiTheme="majorHAnsi" w:eastAsia="Arial" w:hAnsiTheme="majorHAnsi" w:cs="Times New Roman"/>
                <w:lang w:eastAsia="en-IN"/>
              </w:rPr>
            </w:pPr>
            <w:r w:rsidRPr="008675CA">
              <w:rPr>
                <w:rFonts w:asciiTheme="majorHAnsi" w:eastAsia="Arial" w:hAnsiTheme="majorHAnsi" w:cs="Times New Roman"/>
                <w:lang w:eastAsia="en-IN"/>
              </w:rPr>
              <w:t>Interest and Finance Charges claimed for old stations including Sonapani in the True Up petition (1)</w:t>
            </w:r>
          </w:p>
        </w:tc>
        <w:tc>
          <w:tcPr>
            <w:tcW w:w="1010" w:type="pct"/>
          </w:tcPr>
          <w:p w14:paraId="4F14A179" w14:textId="77777777" w:rsidR="00BB740F" w:rsidRPr="008675CA" w:rsidRDefault="00DA7BE6" w:rsidP="003D4573">
            <w:pPr>
              <w:jc w:val="center"/>
              <w:rPr>
                <w:rFonts w:asciiTheme="majorHAnsi" w:eastAsia="Arial" w:hAnsiTheme="majorHAnsi" w:cs="Times New Roman"/>
                <w:lang w:eastAsia="en-IN"/>
              </w:rPr>
            </w:pPr>
            <w:r w:rsidRPr="008675CA">
              <w:rPr>
                <w:rFonts w:asciiTheme="majorHAnsi" w:eastAsia="Arial" w:hAnsiTheme="majorHAnsi" w:cs="Times New Roman"/>
                <w:lang w:eastAsia="en-IN"/>
              </w:rPr>
              <w:t>14.82</w:t>
            </w:r>
          </w:p>
        </w:tc>
      </w:tr>
      <w:tr w:rsidR="00BB740F" w:rsidRPr="008675CA" w14:paraId="071B9CE6" w14:textId="77777777" w:rsidTr="008F330F">
        <w:trPr>
          <w:trHeight w:val="292"/>
        </w:trPr>
        <w:tc>
          <w:tcPr>
            <w:tcW w:w="3990" w:type="pct"/>
          </w:tcPr>
          <w:p w14:paraId="01CEE3FD" w14:textId="77777777" w:rsidR="00BB740F" w:rsidRPr="008675CA" w:rsidRDefault="00BB740F" w:rsidP="003D4573">
            <w:pPr>
              <w:rPr>
                <w:rFonts w:asciiTheme="majorHAnsi" w:eastAsia="Arial" w:hAnsiTheme="majorHAnsi" w:cs="Times New Roman"/>
                <w:lang w:eastAsia="en-IN"/>
              </w:rPr>
            </w:pPr>
            <w:r w:rsidRPr="008675CA">
              <w:rPr>
                <w:rFonts w:asciiTheme="majorHAnsi" w:eastAsia="Arial" w:hAnsiTheme="majorHAnsi" w:cs="Times New Roman"/>
                <w:lang w:eastAsia="en-IN"/>
              </w:rPr>
              <w:t>Interest and Finance Charges allowed by MSERC in the True Up order (2)</w:t>
            </w:r>
          </w:p>
        </w:tc>
        <w:tc>
          <w:tcPr>
            <w:tcW w:w="1010" w:type="pct"/>
          </w:tcPr>
          <w:p w14:paraId="790D1CED" w14:textId="77777777" w:rsidR="00BB740F" w:rsidRPr="008675CA" w:rsidRDefault="00BB740F" w:rsidP="003D4573">
            <w:pPr>
              <w:jc w:val="center"/>
              <w:rPr>
                <w:rFonts w:asciiTheme="majorHAnsi" w:eastAsia="Arial" w:hAnsiTheme="majorHAnsi" w:cs="Times New Roman"/>
                <w:lang w:eastAsia="en-IN"/>
              </w:rPr>
            </w:pPr>
            <w:r w:rsidRPr="008675CA">
              <w:rPr>
                <w:rFonts w:asciiTheme="majorHAnsi" w:eastAsia="Arial" w:hAnsiTheme="majorHAnsi" w:cs="Times New Roman"/>
                <w:lang w:eastAsia="en-IN"/>
              </w:rPr>
              <w:t>0.00</w:t>
            </w:r>
          </w:p>
        </w:tc>
      </w:tr>
      <w:tr w:rsidR="00BB740F" w:rsidRPr="008675CA" w14:paraId="5D6D16E9" w14:textId="77777777" w:rsidTr="00BB740F">
        <w:trPr>
          <w:trHeight w:val="246"/>
        </w:trPr>
        <w:tc>
          <w:tcPr>
            <w:tcW w:w="3990" w:type="pct"/>
          </w:tcPr>
          <w:p w14:paraId="495EE438" w14:textId="77777777" w:rsidR="00BB740F" w:rsidRPr="008675CA" w:rsidRDefault="00BB740F" w:rsidP="003D4573">
            <w:pPr>
              <w:rPr>
                <w:rFonts w:asciiTheme="majorHAnsi" w:eastAsia="Arial" w:hAnsiTheme="majorHAnsi" w:cs="Times New Roman"/>
                <w:lang w:eastAsia="en-IN"/>
              </w:rPr>
            </w:pPr>
            <w:r w:rsidRPr="008675CA">
              <w:rPr>
                <w:rFonts w:asciiTheme="majorHAnsi" w:eastAsia="Arial" w:hAnsiTheme="majorHAnsi" w:cs="Times New Roman"/>
                <w:lang w:eastAsia="en-IN"/>
              </w:rPr>
              <w:t>Interest and Finance Charges claimed by MePGCL in the review (3)</w:t>
            </w:r>
          </w:p>
        </w:tc>
        <w:tc>
          <w:tcPr>
            <w:tcW w:w="1010" w:type="pct"/>
          </w:tcPr>
          <w:p w14:paraId="586608D1" w14:textId="77777777" w:rsidR="00BB740F" w:rsidRPr="008675CA" w:rsidRDefault="00DA7BE6" w:rsidP="003D4573">
            <w:pPr>
              <w:jc w:val="center"/>
              <w:rPr>
                <w:rFonts w:asciiTheme="majorHAnsi" w:eastAsia="Arial" w:hAnsiTheme="majorHAnsi" w:cs="Times New Roman"/>
                <w:lang w:eastAsia="en-IN"/>
              </w:rPr>
            </w:pPr>
            <w:r w:rsidRPr="008675CA">
              <w:rPr>
                <w:rFonts w:asciiTheme="majorHAnsi" w:eastAsia="Arial" w:hAnsiTheme="majorHAnsi" w:cs="Times New Roman"/>
                <w:lang w:eastAsia="en-IN"/>
              </w:rPr>
              <w:t>14.82</w:t>
            </w:r>
          </w:p>
        </w:tc>
      </w:tr>
      <w:tr w:rsidR="00BB740F" w:rsidRPr="008675CA" w14:paraId="65D0E6F1" w14:textId="77777777" w:rsidTr="00BB740F">
        <w:trPr>
          <w:trHeight w:val="139"/>
        </w:trPr>
        <w:tc>
          <w:tcPr>
            <w:tcW w:w="3990" w:type="pct"/>
          </w:tcPr>
          <w:p w14:paraId="3D14D272" w14:textId="77777777" w:rsidR="00BB740F" w:rsidRPr="008675CA" w:rsidRDefault="00BB740F" w:rsidP="003D4573">
            <w:pPr>
              <w:rPr>
                <w:rFonts w:asciiTheme="majorHAnsi" w:eastAsia="Arial" w:hAnsiTheme="majorHAnsi" w:cs="Times New Roman"/>
                <w:b/>
                <w:lang w:eastAsia="en-IN"/>
              </w:rPr>
            </w:pPr>
            <w:r w:rsidRPr="008675CA">
              <w:rPr>
                <w:rFonts w:asciiTheme="majorHAnsi" w:eastAsia="Arial" w:hAnsiTheme="majorHAnsi" w:cs="Times New Roman"/>
                <w:b/>
                <w:lang w:eastAsia="en-IN"/>
              </w:rPr>
              <w:t>Additional Interest and Finance Charges to be allowed in the review petition (4=3-2)</w:t>
            </w:r>
          </w:p>
        </w:tc>
        <w:tc>
          <w:tcPr>
            <w:tcW w:w="1010" w:type="pct"/>
          </w:tcPr>
          <w:p w14:paraId="62DA252C" w14:textId="77777777" w:rsidR="00BB740F" w:rsidRPr="008675CA" w:rsidRDefault="00DA7BE6" w:rsidP="003D4573">
            <w:pPr>
              <w:jc w:val="center"/>
              <w:rPr>
                <w:rFonts w:asciiTheme="majorHAnsi" w:hAnsiTheme="majorHAnsi" w:cs="Calibri"/>
                <w:b/>
              </w:rPr>
            </w:pPr>
            <w:r w:rsidRPr="008675CA">
              <w:rPr>
                <w:rFonts w:asciiTheme="majorHAnsi" w:hAnsiTheme="majorHAnsi" w:cs="Calibri"/>
                <w:b/>
              </w:rPr>
              <w:t>14.82</w:t>
            </w:r>
          </w:p>
        </w:tc>
      </w:tr>
    </w:tbl>
    <w:p w14:paraId="1A38A337" w14:textId="77777777" w:rsidR="00DA77FC" w:rsidRPr="008675CA" w:rsidRDefault="00DA77FC" w:rsidP="00DA77FC">
      <w:pPr>
        <w:spacing w:after="0"/>
        <w:ind w:left="360"/>
        <w:jc w:val="both"/>
        <w:rPr>
          <w:rFonts w:asciiTheme="majorHAnsi" w:hAnsiTheme="majorHAnsi"/>
          <w:b/>
        </w:rPr>
      </w:pPr>
    </w:p>
    <w:p w14:paraId="09DA2B88" w14:textId="77777777" w:rsidR="00DA77FC" w:rsidRPr="008675CA" w:rsidRDefault="00372DCD" w:rsidP="00DA77FC">
      <w:pPr>
        <w:pStyle w:val="head2"/>
        <w:spacing w:before="0" w:after="0"/>
        <w:ind w:left="0" w:firstLine="0"/>
        <w:rPr>
          <w:rFonts w:asciiTheme="majorHAnsi" w:hAnsiTheme="majorHAnsi"/>
        </w:rPr>
      </w:pPr>
      <w:bookmarkStart w:id="58" w:name="_Toc102318573"/>
      <w:r w:rsidRPr="008675CA">
        <w:rPr>
          <w:rFonts w:asciiTheme="majorHAnsi" w:hAnsiTheme="majorHAnsi"/>
        </w:rPr>
        <w:t>2</w:t>
      </w:r>
      <w:r w:rsidR="00DA77FC" w:rsidRPr="008675CA">
        <w:rPr>
          <w:rFonts w:asciiTheme="majorHAnsi" w:hAnsiTheme="majorHAnsi"/>
        </w:rPr>
        <w:t>.5.6. Interest on Working Capital (IWC)</w:t>
      </w:r>
      <w:bookmarkEnd w:id="58"/>
    </w:p>
    <w:p w14:paraId="11C4BCE0" w14:textId="77777777" w:rsidR="00DA77FC" w:rsidRDefault="00DA77FC" w:rsidP="00DA77FC">
      <w:pPr>
        <w:spacing w:after="0"/>
        <w:jc w:val="both"/>
        <w:rPr>
          <w:rFonts w:asciiTheme="majorHAnsi" w:hAnsiTheme="majorHAnsi"/>
        </w:rPr>
      </w:pPr>
      <w:r w:rsidRPr="008675CA">
        <w:rPr>
          <w:rFonts w:asciiTheme="majorHAnsi" w:hAnsiTheme="majorHAnsi"/>
        </w:rPr>
        <w:t>Based on the above submissions for review, the interest on working capital has been computed in line with the existing MSERC Regulations as given below:</w:t>
      </w:r>
    </w:p>
    <w:p w14:paraId="41C1D8BB" w14:textId="77777777" w:rsidR="000E6CAB" w:rsidRPr="000E6CAB" w:rsidRDefault="000E6CAB" w:rsidP="00DA77FC">
      <w:pPr>
        <w:spacing w:after="0"/>
        <w:jc w:val="both"/>
        <w:rPr>
          <w:rFonts w:asciiTheme="majorHAnsi" w:hAnsiTheme="majorHAnsi"/>
          <w:sz w:val="18"/>
        </w:rPr>
      </w:pPr>
    </w:p>
    <w:p w14:paraId="141184B8" w14:textId="146803D4" w:rsidR="000E6CAB" w:rsidRPr="008675CA" w:rsidRDefault="000E6CAB" w:rsidP="000E6CAB">
      <w:pPr>
        <w:pStyle w:val="Caption"/>
        <w:keepNext/>
        <w:spacing w:after="0"/>
        <w:ind w:left="360"/>
        <w:jc w:val="center"/>
        <w:rPr>
          <w:rFonts w:asciiTheme="majorHAnsi" w:hAnsiTheme="majorHAnsi"/>
          <w:b/>
          <w:i w:val="0"/>
          <w:color w:val="auto"/>
          <w:sz w:val="22"/>
          <w:szCs w:val="22"/>
        </w:rPr>
      </w:pPr>
      <w:r w:rsidRPr="008675CA">
        <w:rPr>
          <w:rFonts w:asciiTheme="majorHAnsi" w:hAnsiTheme="majorHAnsi"/>
          <w:b/>
          <w:i w:val="0"/>
          <w:color w:val="auto"/>
          <w:sz w:val="22"/>
          <w:szCs w:val="22"/>
        </w:rPr>
        <w:t xml:space="preserve">Table </w:t>
      </w:r>
      <w:r>
        <w:rPr>
          <w:rFonts w:asciiTheme="majorHAnsi" w:hAnsiTheme="majorHAnsi"/>
          <w:b/>
          <w:i w:val="0"/>
          <w:color w:val="auto"/>
          <w:sz w:val="22"/>
          <w:szCs w:val="22"/>
        </w:rPr>
        <w:t>24</w:t>
      </w:r>
      <w:r w:rsidRPr="008675CA">
        <w:rPr>
          <w:rFonts w:asciiTheme="majorHAnsi" w:hAnsiTheme="majorHAnsi"/>
          <w:b/>
          <w:i w:val="0"/>
          <w:color w:val="auto"/>
          <w:sz w:val="22"/>
          <w:szCs w:val="22"/>
        </w:rPr>
        <w:t xml:space="preserve">: IWC Claim of </w:t>
      </w:r>
      <w:r>
        <w:rPr>
          <w:rFonts w:asciiTheme="majorHAnsi" w:hAnsiTheme="majorHAnsi"/>
          <w:b/>
          <w:i w:val="0"/>
          <w:color w:val="auto"/>
          <w:sz w:val="22"/>
          <w:szCs w:val="22"/>
        </w:rPr>
        <w:t>Old stations including Sonapani</w:t>
      </w:r>
      <w:r w:rsidRPr="008675CA">
        <w:rPr>
          <w:rFonts w:asciiTheme="majorHAnsi" w:hAnsiTheme="majorHAnsi"/>
          <w:b/>
          <w:i w:val="0"/>
          <w:color w:val="auto"/>
          <w:sz w:val="22"/>
          <w:szCs w:val="22"/>
        </w:rPr>
        <w:t xml:space="preserve"> (Rs in Cr.)</w:t>
      </w:r>
    </w:p>
    <w:tbl>
      <w:tblPr>
        <w:tblW w:w="4429"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6509"/>
        <w:gridCol w:w="1494"/>
      </w:tblGrid>
      <w:tr w:rsidR="000E6CAB" w:rsidRPr="008675CA" w14:paraId="6FEA4D2C" w14:textId="77777777" w:rsidTr="00EF2EA1">
        <w:trPr>
          <w:trHeight w:val="269"/>
          <w:tblHeader/>
        </w:trPr>
        <w:tc>
          <w:tcPr>
            <w:tcW w:w="480" w:type="pct"/>
            <w:shd w:val="clear" w:color="auto" w:fill="BFBFBF" w:themeFill="background1" w:themeFillShade="BF"/>
            <w:noWrap/>
            <w:vAlign w:val="center"/>
            <w:hideMark/>
          </w:tcPr>
          <w:p w14:paraId="7F1D3991" w14:textId="77777777" w:rsidR="000E6CAB" w:rsidRPr="008675CA" w:rsidRDefault="000E6CAB" w:rsidP="00EF2EA1">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Sl. No</w:t>
            </w:r>
          </w:p>
        </w:tc>
        <w:tc>
          <w:tcPr>
            <w:tcW w:w="3676" w:type="pct"/>
            <w:shd w:val="clear" w:color="auto" w:fill="BFBFBF" w:themeFill="background1" w:themeFillShade="BF"/>
            <w:noWrap/>
            <w:vAlign w:val="bottom"/>
            <w:hideMark/>
          </w:tcPr>
          <w:p w14:paraId="1F366EC2" w14:textId="77777777" w:rsidR="000E6CAB" w:rsidRPr="008675CA" w:rsidRDefault="000E6CAB" w:rsidP="00EF2EA1">
            <w:pPr>
              <w:spacing w:after="0" w:line="240" w:lineRule="auto"/>
              <w:jc w:val="both"/>
              <w:rPr>
                <w:rFonts w:asciiTheme="majorHAnsi" w:eastAsia="Times New Roman" w:hAnsiTheme="majorHAnsi" w:cs="Calibri"/>
                <w:b/>
              </w:rPr>
            </w:pPr>
            <w:r w:rsidRPr="008675CA">
              <w:rPr>
                <w:rFonts w:asciiTheme="majorHAnsi" w:eastAsia="Times New Roman" w:hAnsiTheme="majorHAnsi" w:cs="Calibri"/>
                <w:b/>
              </w:rPr>
              <w:t>Particulars</w:t>
            </w:r>
          </w:p>
        </w:tc>
        <w:tc>
          <w:tcPr>
            <w:tcW w:w="844" w:type="pct"/>
            <w:shd w:val="clear" w:color="auto" w:fill="BFBFBF" w:themeFill="background1" w:themeFillShade="BF"/>
            <w:noWrap/>
            <w:vAlign w:val="center"/>
            <w:hideMark/>
          </w:tcPr>
          <w:p w14:paraId="0643BE5B" w14:textId="77777777" w:rsidR="000E6CAB" w:rsidRPr="008675CA" w:rsidRDefault="000E6CAB" w:rsidP="00EF2EA1">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FY 2020-21</w:t>
            </w:r>
          </w:p>
        </w:tc>
      </w:tr>
      <w:tr w:rsidR="000E6CAB" w:rsidRPr="008675CA" w14:paraId="16FEECCB" w14:textId="77777777" w:rsidTr="00EF2EA1">
        <w:trPr>
          <w:trHeight w:val="269"/>
        </w:trPr>
        <w:tc>
          <w:tcPr>
            <w:tcW w:w="480" w:type="pct"/>
            <w:shd w:val="clear" w:color="auto" w:fill="auto"/>
            <w:noWrap/>
            <w:vAlign w:val="center"/>
            <w:hideMark/>
          </w:tcPr>
          <w:p w14:paraId="0A9F7FF5" w14:textId="77777777" w:rsidR="000E6CAB" w:rsidRPr="008675CA" w:rsidRDefault="000E6CAB" w:rsidP="00EF2EA1">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1</w:t>
            </w:r>
          </w:p>
        </w:tc>
        <w:tc>
          <w:tcPr>
            <w:tcW w:w="3676" w:type="pct"/>
            <w:shd w:val="clear" w:color="auto" w:fill="auto"/>
            <w:noWrap/>
            <w:vAlign w:val="bottom"/>
            <w:hideMark/>
          </w:tcPr>
          <w:p w14:paraId="23FC8DEE" w14:textId="539A83FD" w:rsidR="000E6CAB" w:rsidRPr="008675CA" w:rsidRDefault="000E6CAB" w:rsidP="0032259B">
            <w:pPr>
              <w:spacing w:after="0" w:line="240" w:lineRule="auto"/>
              <w:jc w:val="both"/>
              <w:rPr>
                <w:rFonts w:asciiTheme="majorHAnsi" w:eastAsia="Times New Roman" w:hAnsiTheme="majorHAnsi" w:cs="Calibri"/>
              </w:rPr>
            </w:pPr>
            <w:r w:rsidRPr="008675CA">
              <w:rPr>
                <w:rFonts w:asciiTheme="majorHAnsi" w:eastAsia="Times New Roman" w:hAnsiTheme="majorHAnsi" w:cs="Calibri"/>
              </w:rPr>
              <w:t>O&amp;M Expenses for one (1) month (Rs.</w:t>
            </w:r>
            <w:r w:rsidR="0032259B">
              <w:rPr>
                <w:rFonts w:asciiTheme="majorHAnsi" w:eastAsia="Times New Roman" w:hAnsiTheme="majorHAnsi" w:cs="Calibri"/>
              </w:rPr>
              <w:t>109.64</w:t>
            </w:r>
            <w:r w:rsidRPr="008675CA">
              <w:rPr>
                <w:rFonts w:asciiTheme="majorHAnsi" w:eastAsia="Times New Roman" w:hAnsiTheme="majorHAnsi" w:cs="Calibri"/>
              </w:rPr>
              <w:t xml:space="preserve"> Cr./12) (a)</w:t>
            </w:r>
          </w:p>
        </w:tc>
        <w:tc>
          <w:tcPr>
            <w:tcW w:w="844" w:type="pct"/>
            <w:shd w:val="clear" w:color="auto" w:fill="auto"/>
            <w:noWrap/>
            <w:vAlign w:val="center"/>
            <w:hideMark/>
          </w:tcPr>
          <w:p w14:paraId="2ADDB895" w14:textId="782459F9" w:rsidR="000E6CAB" w:rsidRPr="008675CA" w:rsidRDefault="0032259B" w:rsidP="00EF2EA1">
            <w:pPr>
              <w:spacing w:after="0" w:line="240" w:lineRule="auto"/>
              <w:jc w:val="center"/>
              <w:rPr>
                <w:rFonts w:asciiTheme="majorHAnsi" w:eastAsia="Times New Roman" w:hAnsiTheme="majorHAnsi" w:cs="Calibri"/>
              </w:rPr>
            </w:pPr>
            <w:r>
              <w:rPr>
                <w:rFonts w:asciiTheme="majorHAnsi" w:eastAsia="Times New Roman" w:hAnsiTheme="majorHAnsi" w:cs="Calibri"/>
              </w:rPr>
              <w:t>9.14</w:t>
            </w:r>
          </w:p>
        </w:tc>
      </w:tr>
      <w:tr w:rsidR="000E6CAB" w:rsidRPr="008675CA" w14:paraId="49D44A2F" w14:textId="77777777" w:rsidTr="00EF2EA1">
        <w:trPr>
          <w:trHeight w:val="269"/>
        </w:trPr>
        <w:tc>
          <w:tcPr>
            <w:tcW w:w="480" w:type="pct"/>
            <w:shd w:val="clear" w:color="auto" w:fill="auto"/>
            <w:noWrap/>
            <w:vAlign w:val="center"/>
            <w:hideMark/>
          </w:tcPr>
          <w:p w14:paraId="4CCEF838" w14:textId="77777777" w:rsidR="000E6CAB" w:rsidRPr="008675CA" w:rsidRDefault="000E6CAB" w:rsidP="00EF2EA1">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2</w:t>
            </w:r>
          </w:p>
        </w:tc>
        <w:tc>
          <w:tcPr>
            <w:tcW w:w="3676" w:type="pct"/>
            <w:shd w:val="clear" w:color="auto" w:fill="auto"/>
            <w:noWrap/>
            <w:vAlign w:val="bottom"/>
            <w:hideMark/>
          </w:tcPr>
          <w:p w14:paraId="3B155955" w14:textId="77777777" w:rsidR="000E6CAB" w:rsidRPr="008675CA" w:rsidRDefault="000E6CAB" w:rsidP="00EF2EA1">
            <w:pPr>
              <w:spacing w:after="0" w:line="240" w:lineRule="auto"/>
              <w:jc w:val="both"/>
              <w:rPr>
                <w:rFonts w:asciiTheme="majorHAnsi" w:eastAsia="Times New Roman" w:hAnsiTheme="majorHAnsi" w:cs="Calibri"/>
              </w:rPr>
            </w:pPr>
            <w:r w:rsidRPr="008675CA">
              <w:rPr>
                <w:rFonts w:asciiTheme="majorHAnsi" w:eastAsia="Times New Roman" w:hAnsiTheme="majorHAnsi" w:cs="Calibri"/>
              </w:rPr>
              <w:t>Maintenance Spares at 15% of O&amp;M expenses escalated at 6% (b)</w:t>
            </w:r>
          </w:p>
        </w:tc>
        <w:tc>
          <w:tcPr>
            <w:tcW w:w="844" w:type="pct"/>
            <w:shd w:val="clear" w:color="auto" w:fill="auto"/>
            <w:noWrap/>
            <w:vAlign w:val="center"/>
            <w:hideMark/>
          </w:tcPr>
          <w:p w14:paraId="3D10D551" w14:textId="040AE77A" w:rsidR="000E6CAB" w:rsidRPr="008675CA" w:rsidRDefault="0032259B" w:rsidP="00EF2EA1">
            <w:pPr>
              <w:spacing w:after="0" w:line="240" w:lineRule="auto"/>
              <w:jc w:val="center"/>
              <w:rPr>
                <w:rFonts w:asciiTheme="majorHAnsi" w:eastAsia="Times New Roman" w:hAnsiTheme="majorHAnsi" w:cs="Calibri"/>
              </w:rPr>
            </w:pPr>
            <w:r>
              <w:rPr>
                <w:rFonts w:asciiTheme="majorHAnsi" w:eastAsia="Times New Roman" w:hAnsiTheme="majorHAnsi" w:cs="Calibri"/>
              </w:rPr>
              <w:t>17.43</w:t>
            </w:r>
          </w:p>
        </w:tc>
      </w:tr>
      <w:tr w:rsidR="000E6CAB" w:rsidRPr="008675CA" w14:paraId="32C40932" w14:textId="77777777" w:rsidTr="00EF2EA1">
        <w:trPr>
          <w:trHeight w:val="269"/>
        </w:trPr>
        <w:tc>
          <w:tcPr>
            <w:tcW w:w="480" w:type="pct"/>
            <w:shd w:val="clear" w:color="auto" w:fill="auto"/>
            <w:noWrap/>
            <w:vAlign w:val="center"/>
            <w:hideMark/>
          </w:tcPr>
          <w:p w14:paraId="702ECB08" w14:textId="77777777" w:rsidR="000E6CAB" w:rsidRPr="008675CA" w:rsidRDefault="000E6CAB" w:rsidP="00EF2EA1">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3</w:t>
            </w:r>
          </w:p>
        </w:tc>
        <w:tc>
          <w:tcPr>
            <w:tcW w:w="3676" w:type="pct"/>
            <w:shd w:val="clear" w:color="auto" w:fill="auto"/>
            <w:noWrap/>
            <w:vAlign w:val="bottom"/>
            <w:hideMark/>
          </w:tcPr>
          <w:p w14:paraId="4E2FE991" w14:textId="77777777" w:rsidR="000E6CAB" w:rsidRPr="008675CA" w:rsidRDefault="000E6CAB" w:rsidP="00EF2EA1">
            <w:pPr>
              <w:spacing w:after="0" w:line="240" w:lineRule="auto"/>
              <w:jc w:val="both"/>
              <w:rPr>
                <w:rFonts w:asciiTheme="majorHAnsi" w:eastAsia="Times New Roman" w:hAnsiTheme="majorHAnsi" w:cs="Calibri"/>
              </w:rPr>
            </w:pPr>
            <w:r w:rsidRPr="008675CA">
              <w:rPr>
                <w:rFonts w:asciiTheme="majorHAnsi" w:eastAsia="Times New Roman" w:hAnsiTheme="majorHAnsi" w:cs="Calibri"/>
              </w:rPr>
              <w:t>Receivables equivalent to two (2) months Net AFC (c)</w:t>
            </w:r>
          </w:p>
        </w:tc>
        <w:tc>
          <w:tcPr>
            <w:tcW w:w="844" w:type="pct"/>
            <w:shd w:val="clear" w:color="auto" w:fill="auto"/>
            <w:noWrap/>
            <w:vAlign w:val="center"/>
            <w:hideMark/>
          </w:tcPr>
          <w:p w14:paraId="1F203CAA" w14:textId="61FF24D4" w:rsidR="000E6CAB" w:rsidRPr="008675CA" w:rsidRDefault="00265343" w:rsidP="00EF2EA1">
            <w:pPr>
              <w:spacing w:after="0" w:line="240" w:lineRule="auto"/>
              <w:jc w:val="center"/>
              <w:rPr>
                <w:rFonts w:asciiTheme="majorHAnsi" w:eastAsia="Times New Roman" w:hAnsiTheme="majorHAnsi" w:cs="Calibri"/>
              </w:rPr>
            </w:pPr>
            <w:r>
              <w:rPr>
                <w:rFonts w:asciiTheme="majorHAnsi" w:eastAsia="Times New Roman" w:hAnsiTheme="majorHAnsi" w:cs="Calibri"/>
              </w:rPr>
              <w:t>30.23</w:t>
            </w:r>
          </w:p>
        </w:tc>
      </w:tr>
      <w:tr w:rsidR="000E6CAB" w:rsidRPr="008675CA" w14:paraId="54ED1E47" w14:textId="77777777" w:rsidTr="00EF2EA1">
        <w:trPr>
          <w:trHeight w:val="269"/>
        </w:trPr>
        <w:tc>
          <w:tcPr>
            <w:tcW w:w="480" w:type="pct"/>
            <w:shd w:val="clear" w:color="auto" w:fill="auto"/>
            <w:noWrap/>
            <w:vAlign w:val="center"/>
            <w:hideMark/>
          </w:tcPr>
          <w:p w14:paraId="25A188ED" w14:textId="77777777" w:rsidR="000E6CAB" w:rsidRPr="008675CA" w:rsidRDefault="000E6CAB" w:rsidP="00EF2EA1">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4</w:t>
            </w:r>
          </w:p>
        </w:tc>
        <w:tc>
          <w:tcPr>
            <w:tcW w:w="3676" w:type="pct"/>
            <w:shd w:val="clear" w:color="auto" w:fill="auto"/>
            <w:noWrap/>
            <w:vAlign w:val="bottom"/>
            <w:hideMark/>
          </w:tcPr>
          <w:p w14:paraId="410EA3B2" w14:textId="77777777" w:rsidR="000E6CAB" w:rsidRPr="008675CA" w:rsidRDefault="000E6CAB" w:rsidP="00EF2EA1">
            <w:pPr>
              <w:spacing w:after="0" w:line="240" w:lineRule="auto"/>
              <w:jc w:val="both"/>
              <w:rPr>
                <w:rFonts w:asciiTheme="majorHAnsi" w:eastAsia="Times New Roman" w:hAnsiTheme="majorHAnsi" w:cs="Calibri"/>
              </w:rPr>
            </w:pPr>
            <w:r w:rsidRPr="008675CA">
              <w:rPr>
                <w:rFonts w:asciiTheme="majorHAnsi" w:eastAsia="Times New Roman" w:hAnsiTheme="majorHAnsi" w:cs="Calibri"/>
              </w:rPr>
              <w:t>Working Capital requirement (d=a+b+c)</w:t>
            </w:r>
          </w:p>
        </w:tc>
        <w:tc>
          <w:tcPr>
            <w:tcW w:w="844" w:type="pct"/>
            <w:shd w:val="clear" w:color="auto" w:fill="auto"/>
            <w:noWrap/>
            <w:vAlign w:val="center"/>
            <w:hideMark/>
          </w:tcPr>
          <w:p w14:paraId="69AAB4F6" w14:textId="47FA27FC" w:rsidR="000E6CAB" w:rsidRPr="008675CA" w:rsidRDefault="00265343" w:rsidP="00EF2EA1">
            <w:pPr>
              <w:spacing w:after="0" w:line="240" w:lineRule="auto"/>
              <w:jc w:val="center"/>
              <w:rPr>
                <w:rFonts w:asciiTheme="majorHAnsi" w:eastAsia="Times New Roman" w:hAnsiTheme="majorHAnsi" w:cs="Calibri"/>
              </w:rPr>
            </w:pPr>
            <w:r>
              <w:rPr>
                <w:rFonts w:asciiTheme="majorHAnsi" w:eastAsia="Times New Roman" w:hAnsiTheme="majorHAnsi" w:cs="Calibri"/>
              </w:rPr>
              <w:t>56.81</w:t>
            </w:r>
          </w:p>
        </w:tc>
      </w:tr>
      <w:tr w:rsidR="000E6CAB" w:rsidRPr="008675CA" w14:paraId="64BC5618" w14:textId="77777777" w:rsidTr="00EF2EA1">
        <w:trPr>
          <w:trHeight w:val="269"/>
        </w:trPr>
        <w:tc>
          <w:tcPr>
            <w:tcW w:w="480" w:type="pct"/>
            <w:shd w:val="clear" w:color="auto" w:fill="auto"/>
            <w:noWrap/>
            <w:vAlign w:val="center"/>
            <w:hideMark/>
          </w:tcPr>
          <w:p w14:paraId="27AF6CA0" w14:textId="77777777" w:rsidR="000E6CAB" w:rsidRPr="008675CA" w:rsidRDefault="000E6CAB" w:rsidP="00EF2EA1">
            <w:pPr>
              <w:spacing w:after="0" w:line="240" w:lineRule="auto"/>
              <w:jc w:val="center"/>
              <w:rPr>
                <w:rFonts w:asciiTheme="majorHAnsi" w:eastAsia="Times New Roman" w:hAnsiTheme="majorHAnsi" w:cs="Calibri"/>
                <w:highlight w:val="yellow"/>
              </w:rPr>
            </w:pPr>
            <w:r w:rsidRPr="008675CA">
              <w:rPr>
                <w:rFonts w:asciiTheme="majorHAnsi" w:eastAsia="Times New Roman" w:hAnsiTheme="majorHAnsi" w:cs="Calibri"/>
                <w:highlight w:val="yellow"/>
              </w:rPr>
              <w:t>5</w:t>
            </w:r>
          </w:p>
        </w:tc>
        <w:tc>
          <w:tcPr>
            <w:tcW w:w="3676" w:type="pct"/>
            <w:shd w:val="clear" w:color="auto" w:fill="auto"/>
            <w:noWrap/>
            <w:vAlign w:val="bottom"/>
            <w:hideMark/>
          </w:tcPr>
          <w:p w14:paraId="0FE70002" w14:textId="2F8A7B64" w:rsidR="000E6CAB" w:rsidRPr="008675CA" w:rsidRDefault="000E6CAB" w:rsidP="00D72519">
            <w:pPr>
              <w:spacing w:after="0" w:line="240" w:lineRule="auto"/>
              <w:jc w:val="both"/>
              <w:rPr>
                <w:rFonts w:asciiTheme="majorHAnsi" w:eastAsia="Times New Roman" w:hAnsiTheme="majorHAnsi" w:cs="Calibri"/>
                <w:highlight w:val="yellow"/>
              </w:rPr>
            </w:pPr>
            <w:r w:rsidRPr="008675CA">
              <w:rPr>
                <w:rFonts w:asciiTheme="majorHAnsi" w:eastAsia="Times New Roman" w:hAnsiTheme="majorHAnsi" w:cs="Calibri"/>
              </w:rPr>
              <w:t>Interest at 1</w:t>
            </w:r>
            <w:r w:rsidR="00D72519">
              <w:rPr>
                <w:rFonts w:asciiTheme="majorHAnsi" w:eastAsia="Times New Roman" w:hAnsiTheme="majorHAnsi" w:cs="Calibri"/>
              </w:rPr>
              <w:t>2.90</w:t>
            </w:r>
            <w:r w:rsidRPr="008675CA">
              <w:rPr>
                <w:rFonts w:asciiTheme="majorHAnsi" w:eastAsia="Times New Roman" w:hAnsiTheme="majorHAnsi" w:cs="Calibri"/>
              </w:rPr>
              <w:t xml:space="preserve">% </w:t>
            </w:r>
            <w:r w:rsidRPr="008675CA">
              <w:rPr>
                <w:rFonts w:asciiTheme="majorHAnsi" w:eastAsia="Times New Roman" w:hAnsiTheme="majorHAnsi" w:cs="Calibri"/>
                <w:highlight w:val="yellow"/>
              </w:rPr>
              <w:t>(e=d*12.</w:t>
            </w:r>
            <w:r w:rsidR="00D72519">
              <w:rPr>
                <w:rFonts w:asciiTheme="majorHAnsi" w:eastAsia="Times New Roman" w:hAnsiTheme="majorHAnsi" w:cs="Calibri"/>
                <w:highlight w:val="yellow"/>
              </w:rPr>
              <w:t>90</w:t>
            </w:r>
            <w:r w:rsidRPr="008675CA">
              <w:rPr>
                <w:rFonts w:asciiTheme="majorHAnsi" w:eastAsia="Times New Roman" w:hAnsiTheme="majorHAnsi" w:cs="Calibri"/>
                <w:highlight w:val="yellow"/>
              </w:rPr>
              <w:t>%)</w:t>
            </w:r>
          </w:p>
        </w:tc>
        <w:tc>
          <w:tcPr>
            <w:tcW w:w="844" w:type="pct"/>
            <w:shd w:val="clear" w:color="auto" w:fill="auto"/>
            <w:noWrap/>
            <w:vAlign w:val="center"/>
            <w:hideMark/>
          </w:tcPr>
          <w:p w14:paraId="2BF803F3" w14:textId="4B4B0C46" w:rsidR="000E6CAB" w:rsidRPr="008675CA" w:rsidRDefault="00265343" w:rsidP="00EF2EA1">
            <w:pPr>
              <w:spacing w:after="0" w:line="240" w:lineRule="auto"/>
              <w:jc w:val="center"/>
              <w:rPr>
                <w:rFonts w:asciiTheme="majorHAnsi" w:eastAsia="Times New Roman" w:hAnsiTheme="majorHAnsi" w:cs="Calibri"/>
                <w:b/>
                <w:highlight w:val="yellow"/>
              </w:rPr>
            </w:pPr>
            <w:r>
              <w:rPr>
                <w:rFonts w:asciiTheme="majorHAnsi" w:eastAsia="Times New Roman" w:hAnsiTheme="majorHAnsi" w:cs="Calibri"/>
                <w:b/>
                <w:highlight w:val="yellow"/>
              </w:rPr>
              <w:t>7.32</w:t>
            </w:r>
          </w:p>
        </w:tc>
      </w:tr>
    </w:tbl>
    <w:p w14:paraId="50090C42" w14:textId="77777777" w:rsidR="000E6CAB" w:rsidRPr="00265343" w:rsidRDefault="000E6CAB" w:rsidP="00DA77FC">
      <w:pPr>
        <w:spacing w:after="0"/>
        <w:jc w:val="both"/>
        <w:rPr>
          <w:rFonts w:asciiTheme="majorHAnsi" w:hAnsiTheme="majorHAnsi"/>
          <w:sz w:val="12"/>
        </w:rPr>
      </w:pPr>
    </w:p>
    <w:p w14:paraId="438EA741" w14:textId="77777777" w:rsidR="00DA77FC" w:rsidRPr="008675CA" w:rsidRDefault="00DA77FC" w:rsidP="00DA77FC">
      <w:pPr>
        <w:spacing w:after="0"/>
        <w:jc w:val="both"/>
        <w:rPr>
          <w:rFonts w:asciiTheme="majorHAnsi" w:hAnsiTheme="majorHAnsi"/>
        </w:rPr>
      </w:pPr>
      <w:r w:rsidRPr="008675CA">
        <w:rPr>
          <w:rFonts w:asciiTheme="majorHAnsi" w:hAnsiTheme="majorHAnsi"/>
        </w:rPr>
        <w:t>Based on the revised Interest on Working Capital for old plants including Sonapani, MePGCL requests the Hon’ble Commission to kindly pass the net additional claim on IWC as given below:</w:t>
      </w:r>
    </w:p>
    <w:p w14:paraId="4298E759" w14:textId="36667E9A" w:rsidR="00DA77FC" w:rsidRPr="008675CA" w:rsidRDefault="00DA77FC" w:rsidP="00DA77FC">
      <w:pPr>
        <w:pStyle w:val="Caption"/>
        <w:keepNext/>
        <w:spacing w:after="0"/>
        <w:ind w:left="360"/>
        <w:jc w:val="center"/>
        <w:rPr>
          <w:rFonts w:asciiTheme="majorHAnsi" w:hAnsiTheme="majorHAnsi"/>
          <w:b/>
          <w:i w:val="0"/>
          <w:color w:val="auto"/>
          <w:sz w:val="22"/>
          <w:szCs w:val="22"/>
        </w:rPr>
      </w:pPr>
      <w:r w:rsidRPr="008675CA">
        <w:rPr>
          <w:rFonts w:asciiTheme="majorHAnsi" w:hAnsiTheme="majorHAnsi"/>
          <w:b/>
          <w:i w:val="0"/>
          <w:color w:val="auto"/>
          <w:sz w:val="22"/>
          <w:szCs w:val="22"/>
        </w:rPr>
        <w:lastRenderedPageBreak/>
        <w:t xml:space="preserve">Table </w:t>
      </w:r>
      <w:r w:rsidR="00104302" w:rsidRPr="008675CA">
        <w:rPr>
          <w:rFonts w:asciiTheme="majorHAnsi" w:hAnsiTheme="majorHAnsi"/>
          <w:b/>
          <w:i w:val="0"/>
          <w:color w:val="auto"/>
          <w:sz w:val="22"/>
          <w:szCs w:val="22"/>
        </w:rPr>
        <w:t>2</w:t>
      </w:r>
      <w:r w:rsidR="00265343">
        <w:rPr>
          <w:rFonts w:asciiTheme="majorHAnsi" w:hAnsiTheme="majorHAnsi"/>
          <w:b/>
          <w:i w:val="0"/>
          <w:color w:val="auto"/>
          <w:sz w:val="22"/>
          <w:szCs w:val="22"/>
        </w:rPr>
        <w:t>5</w:t>
      </w:r>
      <w:r w:rsidRPr="008675CA">
        <w:rPr>
          <w:rFonts w:asciiTheme="majorHAnsi" w:hAnsiTheme="majorHAnsi"/>
          <w:b/>
          <w:i w:val="0"/>
          <w:color w:val="auto"/>
          <w:sz w:val="22"/>
          <w:szCs w:val="22"/>
        </w:rPr>
        <w:t>: Additional IWC Claim of MePGCL in Review (INR Cr.)</w:t>
      </w:r>
    </w:p>
    <w:tbl>
      <w:tblPr>
        <w:tblStyle w:val="TableGrid"/>
        <w:tblW w:w="4412" w:type="pct"/>
        <w:tblInd w:w="355" w:type="dxa"/>
        <w:tblLook w:val="04A0" w:firstRow="1" w:lastRow="0" w:firstColumn="1" w:lastColumn="0" w:noHBand="0" w:noVBand="1"/>
      </w:tblPr>
      <w:tblGrid>
        <w:gridCol w:w="6997"/>
        <w:gridCol w:w="1680"/>
      </w:tblGrid>
      <w:tr w:rsidR="00BB740F" w:rsidRPr="008675CA" w14:paraId="78544BFF" w14:textId="77777777" w:rsidTr="00BB740F">
        <w:trPr>
          <w:trHeight w:val="292"/>
          <w:tblHeader/>
        </w:trPr>
        <w:tc>
          <w:tcPr>
            <w:tcW w:w="4032" w:type="pct"/>
            <w:shd w:val="clear" w:color="auto" w:fill="BFBFBF" w:themeFill="background1" w:themeFillShade="BF"/>
          </w:tcPr>
          <w:p w14:paraId="7EF00C7B" w14:textId="77777777" w:rsidR="00BB740F" w:rsidRPr="008675CA" w:rsidRDefault="00BB740F" w:rsidP="003D4573">
            <w:pPr>
              <w:pStyle w:val="ListParagraph"/>
              <w:ind w:left="0"/>
              <w:jc w:val="both"/>
              <w:rPr>
                <w:rFonts w:asciiTheme="majorHAnsi" w:hAnsiTheme="majorHAnsi"/>
                <w:b/>
                <w:szCs w:val="22"/>
              </w:rPr>
            </w:pPr>
            <w:r w:rsidRPr="008675CA">
              <w:rPr>
                <w:rFonts w:asciiTheme="majorHAnsi" w:hAnsiTheme="majorHAnsi"/>
                <w:b/>
                <w:szCs w:val="22"/>
              </w:rPr>
              <w:t>Particulars</w:t>
            </w:r>
          </w:p>
        </w:tc>
        <w:tc>
          <w:tcPr>
            <w:tcW w:w="968" w:type="pct"/>
            <w:shd w:val="clear" w:color="auto" w:fill="BFBFBF" w:themeFill="background1" w:themeFillShade="BF"/>
          </w:tcPr>
          <w:p w14:paraId="5A1BD201" w14:textId="77777777" w:rsidR="00BB740F" w:rsidRPr="008675CA" w:rsidRDefault="00BB740F" w:rsidP="00DA7BE6">
            <w:pPr>
              <w:pStyle w:val="ListParagraph"/>
              <w:ind w:left="-18"/>
              <w:rPr>
                <w:rFonts w:asciiTheme="majorHAnsi" w:hAnsiTheme="majorHAnsi"/>
                <w:b/>
                <w:szCs w:val="22"/>
              </w:rPr>
            </w:pPr>
            <w:r w:rsidRPr="008675CA">
              <w:rPr>
                <w:rFonts w:asciiTheme="majorHAnsi" w:hAnsiTheme="majorHAnsi"/>
                <w:b/>
                <w:szCs w:val="22"/>
              </w:rPr>
              <w:t xml:space="preserve">FY </w:t>
            </w:r>
            <w:r w:rsidR="00DA7BE6" w:rsidRPr="008675CA">
              <w:rPr>
                <w:rFonts w:asciiTheme="majorHAnsi" w:hAnsiTheme="majorHAnsi"/>
                <w:b/>
                <w:szCs w:val="22"/>
              </w:rPr>
              <w:t>2020-21</w:t>
            </w:r>
          </w:p>
        </w:tc>
      </w:tr>
      <w:tr w:rsidR="00BB740F" w:rsidRPr="008675CA" w14:paraId="71D49339" w14:textId="77777777" w:rsidTr="00BB740F">
        <w:trPr>
          <w:trHeight w:val="292"/>
        </w:trPr>
        <w:tc>
          <w:tcPr>
            <w:tcW w:w="4032" w:type="pct"/>
          </w:tcPr>
          <w:p w14:paraId="54F47B75" w14:textId="77777777" w:rsidR="00BB740F" w:rsidRPr="008675CA" w:rsidRDefault="00BB740F" w:rsidP="003D4573">
            <w:pPr>
              <w:pStyle w:val="ListParagraph"/>
              <w:ind w:left="0"/>
              <w:jc w:val="both"/>
              <w:rPr>
                <w:rFonts w:asciiTheme="majorHAnsi" w:hAnsiTheme="majorHAnsi"/>
                <w:szCs w:val="22"/>
              </w:rPr>
            </w:pPr>
            <w:r w:rsidRPr="008675CA">
              <w:rPr>
                <w:rFonts w:asciiTheme="majorHAnsi" w:hAnsiTheme="majorHAnsi"/>
                <w:szCs w:val="22"/>
              </w:rPr>
              <w:t>MePGCL’s Revised Claim of Interest on Working Capital for old Plants in Review (1)</w:t>
            </w:r>
          </w:p>
        </w:tc>
        <w:tc>
          <w:tcPr>
            <w:tcW w:w="968" w:type="pct"/>
          </w:tcPr>
          <w:p w14:paraId="4231213A" w14:textId="6463A2CE" w:rsidR="00BB740F" w:rsidRPr="008675CA" w:rsidRDefault="00265343" w:rsidP="003D4573">
            <w:pPr>
              <w:pStyle w:val="Default"/>
              <w:ind w:left="-14"/>
              <w:jc w:val="center"/>
              <w:rPr>
                <w:rFonts w:asciiTheme="majorHAnsi" w:hAnsiTheme="majorHAnsi"/>
                <w:color w:val="auto"/>
                <w:sz w:val="22"/>
                <w:szCs w:val="22"/>
              </w:rPr>
            </w:pPr>
            <w:r>
              <w:rPr>
                <w:rFonts w:asciiTheme="majorHAnsi" w:hAnsiTheme="majorHAnsi"/>
                <w:color w:val="auto"/>
                <w:sz w:val="22"/>
                <w:szCs w:val="22"/>
              </w:rPr>
              <w:t>7.32</w:t>
            </w:r>
          </w:p>
        </w:tc>
      </w:tr>
      <w:tr w:rsidR="00BB740F" w:rsidRPr="008675CA" w14:paraId="7C9319A3" w14:textId="77777777" w:rsidTr="00BB740F">
        <w:trPr>
          <w:trHeight w:val="272"/>
        </w:trPr>
        <w:tc>
          <w:tcPr>
            <w:tcW w:w="4032" w:type="pct"/>
          </w:tcPr>
          <w:p w14:paraId="0320D3CB" w14:textId="77777777" w:rsidR="00BB740F" w:rsidRPr="008675CA" w:rsidRDefault="00BB740F" w:rsidP="003D4573">
            <w:pPr>
              <w:pStyle w:val="ListParagraph"/>
              <w:ind w:left="0"/>
              <w:jc w:val="both"/>
              <w:rPr>
                <w:rFonts w:asciiTheme="majorHAnsi" w:hAnsiTheme="majorHAnsi"/>
                <w:szCs w:val="22"/>
              </w:rPr>
            </w:pPr>
            <w:r w:rsidRPr="008675CA">
              <w:rPr>
                <w:rFonts w:asciiTheme="majorHAnsi" w:hAnsiTheme="majorHAnsi"/>
                <w:szCs w:val="22"/>
              </w:rPr>
              <w:t>Approved Interest on Working Capital by MSERC (2)</w:t>
            </w:r>
          </w:p>
        </w:tc>
        <w:tc>
          <w:tcPr>
            <w:tcW w:w="968" w:type="pct"/>
          </w:tcPr>
          <w:p w14:paraId="1D69BD62" w14:textId="77777777" w:rsidR="00BB740F" w:rsidRPr="008675CA" w:rsidRDefault="00BB740F" w:rsidP="003D4573">
            <w:pPr>
              <w:pStyle w:val="Default"/>
              <w:ind w:left="-14"/>
              <w:jc w:val="center"/>
              <w:rPr>
                <w:rFonts w:asciiTheme="majorHAnsi" w:hAnsiTheme="majorHAnsi"/>
                <w:color w:val="auto"/>
                <w:sz w:val="22"/>
                <w:szCs w:val="22"/>
              </w:rPr>
            </w:pPr>
            <w:r w:rsidRPr="008675CA">
              <w:rPr>
                <w:rFonts w:asciiTheme="majorHAnsi" w:hAnsiTheme="majorHAnsi"/>
                <w:color w:val="auto"/>
                <w:sz w:val="22"/>
                <w:szCs w:val="22"/>
              </w:rPr>
              <w:t>1.72</w:t>
            </w:r>
          </w:p>
        </w:tc>
      </w:tr>
      <w:tr w:rsidR="00BB740F" w:rsidRPr="008675CA" w14:paraId="1E6388DE" w14:textId="77777777" w:rsidTr="00BB740F">
        <w:trPr>
          <w:trHeight w:val="272"/>
        </w:trPr>
        <w:tc>
          <w:tcPr>
            <w:tcW w:w="4032" w:type="pct"/>
          </w:tcPr>
          <w:p w14:paraId="324B8C89" w14:textId="77777777" w:rsidR="00BB740F" w:rsidRPr="008675CA" w:rsidRDefault="00BB740F" w:rsidP="003D4573">
            <w:pPr>
              <w:pStyle w:val="ListParagraph"/>
              <w:ind w:left="0"/>
              <w:jc w:val="both"/>
              <w:rPr>
                <w:rFonts w:asciiTheme="majorHAnsi" w:hAnsiTheme="majorHAnsi"/>
                <w:b/>
                <w:szCs w:val="22"/>
              </w:rPr>
            </w:pPr>
            <w:r w:rsidRPr="008675CA">
              <w:rPr>
                <w:rFonts w:asciiTheme="majorHAnsi" w:hAnsiTheme="majorHAnsi"/>
                <w:b/>
                <w:szCs w:val="22"/>
              </w:rPr>
              <w:t>Gap to be passed in the review petition (3=1-2)</w:t>
            </w:r>
          </w:p>
        </w:tc>
        <w:tc>
          <w:tcPr>
            <w:tcW w:w="968" w:type="pct"/>
          </w:tcPr>
          <w:p w14:paraId="175B233D" w14:textId="04D2A96F" w:rsidR="00BB740F" w:rsidRPr="008675CA" w:rsidRDefault="00265343" w:rsidP="003D4573">
            <w:pPr>
              <w:pStyle w:val="Default"/>
              <w:ind w:left="-14"/>
              <w:jc w:val="center"/>
              <w:rPr>
                <w:rFonts w:asciiTheme="majorHAnsi" w:hAnsiTheme="majorHAnsi"/>
                <w:b/>
                <w:color w:val="auto"/>
                <w:sz w:val="22"/>
                <w:szCs w:val="22"/>
              </w:rPr>
            </w:pPr>
            <w:r>
              <w:rPr>
                <w:rFonts w:asciiTheme="majorHAnsi" w:hAnsiTheme="majorHAnsi"/>
                <w:b/>
                <w:color w:val="auto"/>
                <w:sz w:val="22"/>
                <w:szCs w:val="22"/>
              </w:rPr>
              <w:t>5.61</w:t>
            </w:r>
          </w:p>
        </w:tc>
      </w:tr>
    </w:tbl>
    <w:p w14:paraId="1513B4E9" w14:textId="77777777" w:rsidR="00265343" w:rsidRPr="008675CA" w:rsidRDefault="00265343" w:rsidP="000222A4">
      <w:pPr>
        <w:tabs>
          <w:tab w:val="left" w:pos="6208"/>
        </w:tabs>
        <w:rPr>
          <w:rFonts w:asciiTheme="majorHAnsi" w:hAnsiTheme="majorHAnsi"/>
        </w:rPr>
      </w:pPr>
      <w:bookmarkStart w:id="59" w:name="_Toc102318574"/>
    </w:p>
    <w:p w14:paraId="21BD0847" w14:textId="77777777" w:rsidR="000222A4" w:rsidRPr="008675CA" w:rsidRDefault="000222A4" w:rsidP="000222A4">
      <w:pPr>
        <w:tabs>
          <w:tab w:val="left" w:pos="6208"/>
        </w:tabs>
        <w:rPr>
          <w:rFonts w:asciiTheme="majorHAnsi" w:hAnsiTheme="majorHAnsi"/>
        </w:rPr>
      </w:pPr>
      <w:r w:rsidRPr="008675CA">
        <w:rPr>
          <w:rFonts w:asciiTheme="majorHAnsi" w:hAnsiTheme="majorHAnsi"/>
        </w:rPr>
        <w:t>2.</w:t>
      </w:r>
      <w:r w:rsidR="00787757" w:rsidRPr="008675CA">
        <w:rPr>
          <w:rFonts w:asciiTheme="majorHAnsi" w:hAnsiTheme="majorHAnsi"/>
        </w:rPr>
        <w:t>5.7</w:t>
      </w:r>
      <w:r w:rsidRPr="008675CA">
        <w:rPr>
          <w:rFonts w:asciiTheme="majorHAnsi" w:hAnsiTheme="majorHAnsi"/>
        </w:rPr>
        <w:t xml:space="preserve">. </w:t>
      </w:r>
      <w:r w:rsidRPr="008675CA">
        <w:rPr>
          <w:rFonts w:asciiTheme="majorHAnsi" w:hAnsiTheme="majorHAnsi"/>
          <w:b/>
        </w:rPr>
        <w:t>Revised ARR &amp; Net Additional Claim in Review for True Up FY 2020-21</w:t>
      </w:r>
    </w:p>
    <w:p w14:paraId="77235ADB" w14:textId="741F4F0C" w:rsidR="000E6CAB" w:rsidRDefault="000E6CAB" w:rsidP="000222A4">
      <w:pPr>
        <w:pStyle w:val="Caption"/>
        <w:keepNext/>
        <w:spacing w:after="0"/>
        <w:ind w:left="240"/>
        <w:rPr>
          <w:rFonts w:asciiTheme="majorHAnsi" w:hAnsiTheme="majorHAnsi"/>
          <w:b/>
          <w:i w:val="0"/>
          <w:color w:val="auto"/>
          <w:sz w:val="22"/>
          <w:szCs w:val="22"/>
        </w:rPr>
      </w:pPr>
      <w:r>
        <w:rPr>
          <w:rFonts w:asciiTheme="majorHAnsi" w:hAnsiTheme="majorHAnsi"/>
          <w:b/>
          <w:i w:val="0"/>
          <w:color w:val="auto"/>
          <w:sz w:val="22"/>
          <w:szCs w:val="22"/>
        </w:rPr>
        <w:t>Table 2</w:t>
      </w:r>
      <w:r w:rsidR="00265343">
        <w:rPr>
          <w:rFonts w:asciiTheme="majorHAnsi" w:hAnsiTheme="majorHAnsi"/>
          <w:b/>
          <w:i w:val="0"/>
          <w:color w:val="auto"/>
          <w:sz w:val="22"/>
          <w:szCs w:val="22"/>
        </w:rPr>
        <w:t>6</w:t>
      </w:r>
      <w:r w:rsidR="000222A4" w:rsidRPr="008675CA">
        <w:rPr>
          <w:rFonts w:asciiTheme="majorHAnsi" w:hAnsiTheme="majorHAnsi"/>
          <w:b/>
          <w:i w:val="0"/>
          <w:color w:val="auto"/>
          <w:sz w:val="22"/>
          <w:szCs w:val="22"/>
        </w:rPr>
        <w:t>: Revised AFC for Old stations (including Sonapani) in Review</w:t>
      </w:r>
      <w:r>
        <w:rPr>
          <w:rFonts w:asciiTheme="majorHAnsi" w:hAnsiTheme="majorHAnsi"/>
          <w:b/>
          <w:i w:val="0"/>
          <w:color w:val="auto"/>
          <w:sz w:val="22"/>
          <w:szCs w:val="22"/>
        </w:rPr>
        <w:t xml:space="preserve"> petition </w:t>
      </w:r>
      <w:r w:rsidR="000222A4" w:rsidRPr="008675CA">
        <w:rPr>
          <w:rFonts w:asciiTheme="majorHAnsi" w:hAnsiTheme="majorHAnsi"/>
          <w:b/>
          <w:i w:val="0"/>
          <w:color w:val="auto"/>
          <w:sz w:val="22"/>
          <w:szCs w:val="22"/>
        </w:rPr>
        <w:t xml:space="preserve"> </w:t>
      </w:r>
    </w:p>
    <w:p w14:paraId="6BF33D2B" w14:textId="192232F1" w:rsidR="000222A4" w:rsidRDefault="000222A4" w:rsidP="000E6CAB">
      <w:pPr>
        <w:pStyle w:val="Caption"/>
        <w:keepNext/>
        <w:spacing w:after="0"/>
        <w:ind w:left="960" w:firstLine="480"/>
        <w:rPr>
          <w:rFonts w:asciiTheme="majorHAnsi" w:hAnsiTheme="majorHAnsi"/>
          <w:b/>
          <w:i w:val="0"/>
          <w:color w:val="auto"/>
          <w:sz w:val="22"/>
          <w:szCs w:val="22"/>
        </w:rPr>
      </w:pPr>
      <w:r w:rsidRPr="008675CA">
        <w:rPr>
          <w:rFonts w:asciiTheme="majorHAnsi" w:hAnsiTheme="majorHAnsi"/>
          <w:b/>
          <w:i w:val="0"/>
          <w:color w:val="auto"/>
          <w:sz w:val="22"/>
          <w:szCs w:val="22"/>
        </w:rPr>
        <w:t>for FY 2020-21</w:t>
      </w:r>
      <w:r w:rsidR="000E6CAB">
        <w:rPr>
          <w:rFonts w:asciiTheme="majorHAnsi" w:hAnsiTheme="majorHAnsi"/>
          <w:b/>
          <w:i w:val="0"/>
          <w:color w:val="auto"/>
          <w:sz w:val="22"/>
          <w:szCs w:val="22"/>
        </w:rPr>
        <w:tab/>
      </w:r>
      <w:r w:rsidR="000E6CAB">
        <w:rPr>
          <w:rFonts w:asciiTheme="majorHAnsi" w:hAnsiTheme="majorHAnsi"/>
          <w:b/>
          <w:i w:val="0"/>
          <w:color w:val="auto"/>
          <w:sz w:val="22"/>
          <w:szCs w:val="22"/>
        </w:rPr>
        <w:tab/>
      </w:r>
      <w:r w:rsidR="000E6CAB">
        <w:rPr>
          <w:rFonts w:asciiTheme="majorHAnsi" w:hAnsiTheme="majorHAnsi"/>
          <w:b/>
          <w:i w:val="0"/>
          <w:color w:val="auto"/>
          <w:sz w:val="22"/>
          <w:szCs w:val="22"/>
        </w:rPr>
        <w:tab/>
      </w:r>
      <w:r w:rsidR="000E6CAB">
        <w:rPr>
          <w:rFonts w:asciiTheme="majorHAnsi" w:hAnsiTheme="majorHAnsi"/>
          <w:b/>
          <w:i w:val="0"/>
          <w:color w:val="auto"/>
          <w:sz w:val="22"/>
          <w:szCs w:val="22"/>
        </w:rPr>
        <w:tab/>
      </w:r>
      <w:r w:rsidR="000E6CAB">
        <w:rPr>
          <w:rFonts w:asciiTheme="majorHAnsi" w:hAnsiTheme="majorHAnsi"/>
          <w:b/>
          <w:i w:val="0"/>
          <w:color w:val="auto"/>
          <w:sz w:val="22"/>
          <w:szCs w:val="22"/>
        </w:rPr>
        <w:tab/>
      </w:r>
      <w:r w:rsidR="000E6CAB">
        <w:rPr>
          <w:rFonts w:asciiTheme="majorHAnsi" w:hAnsiTheme="majorHAnsi"/>
          <w:b/>
          <w:i w:val="0"/>
          <w:color w:val="auto"/>
          <w:sz w:val="22"/>
          <w:szCs w:val="22"/>
        </w:rPr>
        <w:tab/>
      </w:r>
      <w:r w:rsidR="000E6CAB">
        <w:rPr>
          <w:rFonts w:asciiTheme="majorHAnsi" w:hAnsiTheme="majorHAnsi"/>
          <w:b/>
          <w:i w:val="0"/>
          <w:color w:val="auto"/>
          <w:sz w:val="22"/>
          <w:szCs w:val="22"/>
        </w:rPr>
        <w:tab/>
      </w:r>
      <w:r w:rsidR="000E6CAB">
        <w:rPr>
          <w:rFonts w:asciiTheme="majorHAnsi" w:hAnsiTheme="majorHAnsi"/>
          <w:b/>
          <w:i w:val="0"/>
          <w:color w:val="auto"/>
          <w:sz w:val="22"/>
          <w:szCs w:val="22"/>
        </w:rPr>
        <w:tab/>
      </w:r>
      <w:r w:rsidR="000E6CAB">
        <w:rPr>
          <w:rFonts w:asciiTheme="majorHAnsi" w:hAnsiTheme="majorHAnsi"/>
          <w:b/>
          <w:i w:val="0"/>
          <w:color w:val="auto"/>
          <w:sz w:val="22"/>
          <w:szCs w:val="22"/>
        </w:rPr>
        <w:tab/>
      </w:r>
    </w:p>
    <w:p w14:paraId="3FFF3EBF" w14:textId="3E16FB08" w:rsidR="000E6CAB" w:rsidRPr="000E6CAB" w:rsidRDefault="000E6CAB" w:rsidP="000E6CAB">
      <w:pPr>
        <w:spacing w:after="0"/>
        <w:ind w:left="7200" w:firstLine="720"/>
        <w:jc w:val="center"/>
      </w:pPr>
      <w:r w:rsidRPr="008675CA">
        <w:rPr>
          <w:rFonts w:asciiTheme="majorHAnsi" w:hAnsiTheme="majorHAnsi"/>
          <w:b/>
          <w:i/>
        </w:rPr>
        <w:t>(Rs.in Cr.)</w:t>
      </w:r>
    </w:p>
    <w:tbl>
      <w:tblPr>
        <w:tblW w:w="4632"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1"/>
        <w:gridCol w:w="2272"/>
        <w:gridCol w:w="1984"/>
        <w:gridCol w:w="1982"/>
      </w:tblGrid>
      <w:tr w:rsidR="00787757" w:rsidRPr="008675CA" w14:paraId="7F99ECCC" w14:textId="77777777" w:rsidTr="00787757">
        <w:trPr>
          <w:trHeight w:val="317"/>
          <w:tblHeader/>
        </w:trPr>
        <w:tc>
          <w:tcPr>
            <w:tcW w:w="1576" w:type="pct"/>
            <w:shd w:val="clear" w:color="auto" w:fill="BFBFBF" w:themeFill="background1" w:themeFillShade="BF"/>
            <w:noWrap/>
            <w:vAlign w:val="center"/>
            <w:hideMark/>
          </w:tcPr>
          <w:p w14:paraId="6D7E8F5B" w14:textId="77777777" w:rsidR="000222A4" w:rsidRPr="008675CA" w:rsidRDefault="000222A4" w:rsidP="00CF097D">
            <w:pPr>
              <w:spacing w:after="0" w:line="240" w:lineRule="auto"/>
              <w:ind w:left="-15"/>
              <w:rPr>
                <w:rFonts w:asciiTheme="majorHAnsi" w:eastAsia="Times New Roman" w:hAnsiTheme="majorHAnsi" w:cs="Times New Roman"/>
                <w:b/>
              </w:rPr>
            </w:pPr>
            <w:r w:rsidRPr="008675CA">
              <w:rPr>
                <w:rFonts w:asciiTheme="majorHAnsi" w:hAnsiTheme="majorHAnsi"/>
                <w:b/>
              </w:rPr>
              <w:t>Particulars</w:t>
            </w:r>
          </w:p>
        </w:tc>
        <w:tc>
          <w:tcPr>
            <w:tcW w:w="1247" w:type="pct"/>
            <w:shd w:val="clear" w:color="auto" w:fill="BFBFBF" w:themeFill="background1" w:themeFillShade="BF"/>
            <w:noWrap/>
            <w:vAlign w:val="center"/>
            <w:hideMark/>
          </w:tcPr>
          <w:p w14:paraId="2B4E9643" w14:textId="77777777" w:rsidR="000222A4" w:rsidRPr="008675CA" w:rsidRDefault="000222A4" w:rsidP="00CF097D">
            <w:pPr>
              <w:spacing w:after="0" w:line="240" w:lineRule="auto"/>
              <w:ind w:left="-29"/>
              <w:jc w:val="center"/>
              <w:rPr>
                <w:rFonts w:asciiTheme="majorHAnsi" w:eastAsia="Times New Roman" w:hAnsiTheme="majorHAnsi" w:cs="Calibri"/>
                <w:b/>
              </w:rPr>
            </w:pPr>
            <w:r w:rsidRPr="008675CA">
              <w:rPr>
                <w:rFonts w:asciiTheme="majorHAnsi" w:eastAsia="Times New Roman" w:hAnsiTheme="majorHAnsi" w:cs="Calibri"/>
                <w:b/>
              </w:rPr>
              <w:t xml:space="preserve">AFC as per review </w:t>
            </w:r>
          </w:p>
        </w:tc>
        <w:tc>
          <w:tcPr>
            <w:tcW w:w="1089" w:type="pct"/>
            <w:shd w:val="clear" w:color="auto" w:fill="BFBFBF" w:themeFill="background1" w:themeFillShade="BF"/>
            <w:noWrap/>
            <w:vAlign w:val="center"/>
          </w:tcPr>
          <w:p w14:paraId="00E75A17" w14:textId="77777777" w:rsidR="000222A4" w:rsidRPr="008675CA" w:rsidRDefault="000222A4" w:rsidP="00CF097D">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AFC as per True up Order</w:t>
            </w:r>
          </w:p>
        </w:tc>
        <w:tc>
          <w:tcPr>
            <w:tcW w:w="1088" w:type="pct"/>
            <w:shd w:val="clear" w:color="auto" w:fill="BFBFBF" w:themeFill="background1" w:themeFillShade="BF"/>
            <w:vAlign w:val="center"/>
          </w:tcPr>
          <w:p w14:paraId="4677DE5A" w14:textId="77777777" w:rsidR="000222A4" w:rsidRPr="008675CA" w:rsidRDefault="000222A4" w:rsidP="00CF097D">
            <w:pPr>
              <w:spacing w:after="0" w:line="240" w:lineRule="auto"/>
              <w:jc w:val="center"/>
              <w:rPr>
                <w:rFonts w:asciiTheme="majorHAnsi" w:eastAsia="Times New Roman" w:hAnsiTheme="majorHAnsi" w:cs="Calibri"/>
                <w:b/>
              </w:rPr>
            </w:pPr>
            <w:r w:rsidRPr="008675CA">
              <w:rPr>
                <w:rFonts w:asciiTheme="majorHAnsi" w:eastAsia="Times New Roman" w:hAnsiTheme="majorHAnsi" w:cs="Calibri"/>
                <w:b/>
              </w:rPr>
              <w:t>Gap/(Surplus)</w:t>
            </w:r>
          </w:p>
        </w:tc>
      </w:tr>
      <w:tr w:rsidR="00787757" w:rsidRPr="008675CA" w14:paraId="18078125" w14:textId="77777777" w:rsidTr="00787757">
        <w:trPr>
          <w:trHeight w:val="317"/>
        </w:trPr>
        <w:tc>
          <w:tcPr>
            <w:tcW w:w="1576" w:type="pct"/>
            <w:shd w:val="clear" w:color="auto" w:fill="auto"/>
            <w:vAlign w:val="center"/>
            <w:hideMark/>
          </w:tcPr>
          <w:p w14:paraId="4F1E4C10" w14:textId="77777777" w:rsidR="00F93FF9" w:rsidRPr="008675CA" w:rsidRDefault="00F93FF9" w:rsidP="00CF097D">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O&amp;M Expenses</w:t>
            </w:r>
          </w:p>
        </w:tc>
        <w:tc>
          <w:tcPr>
            <w:tcW w:w="1247" w:type="pct"/>
            <w:shd w:val="clear" w:color="auto" w:fill="auto"/>
            <w:noWrap/>
            <w:vAlign w:val="center"/>
          </w:tcPr>
          <w:p w14:paraId="5858E8B0" w14:textId="5BCC9367" w:rsidR="00F93FF9" w:rsidRPr="008675CA" w:rsidRDefault="00265343" w:rsidP="00CF097D">
            <w:pPr>
              <w:spacing w:after="0" w:line="240" w:lineRule="auto"/>
              <w:jc w:val="center"/>
              <w:rPr>
                <w:rFonts w:asciiTheme="majorHAnsi" w:eastAsia="Times New Roman" w:hAnsiTheme="majorHAnsi" w:cs="Calibri"/>
              </w:rPr>
            </w:pPr>
            <w:r>
              <w:rPr>
                <w:rFonts w:asciiTheme="majorHAnsi" w:eastAsia="Times New Roman" w:hAnsiTheme="majorHAnsi" w:cs="Calibri"/>
              </w:rPr>
              <w:t>109.64</w:t>
            </w:r>
          </w:p>
        </w:tc>
        <w:tc>
          <w:tcPr>
            <w:tcW w:w="1089" w:type="pct"/>
            <w:vAlign w:val="center"/>
          </w:tcPr>
          <w:p w14:paraId="65E390D6" w14:textId="77777777" w:rsidR="00F93FF9" w:rsidRPr="008675CA" w:rsidRDefault="00F93FF9" w:rsidP="00CF097D">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44.86</w:t>
            </w:r>
          </w:p>
        </w:tc>
        <w:tc>
          <w:tcPr>
            <w:tcW w:w="1088" w:type="pct"/>
            <w:vAlign w:val="center"/>
          </w:tcPr>
          <w:p w14:paraId="663846F8" w14:textId="77777777" w:rsidR="00F93FF9" w:rsidRPr="008675CA" w:rsidRDefault="00092846" w:rsidP="00CF097D">
            <w:pPr>
              <w:spacing w:after="0" w:line="240" w:lineRule="auto"/>
              <w:jc w:val="center"/>
              <w:rPr>
                <w:rFonts w:asciiTheme="majorHAnsi" w:eastAsia="Times New Roman" w:hAnsiTheme="majorHAnsi" w:cs="Calibri"/>
              </w:rPr>
            </w:pPr>
            <w:r>
              <w:rPr>
                <w:rFonts w:asciiTheme="majorHAnsi" w:eastAsia="Times New Roman" w:hAnsiTheme="majorHAnsi" w:cs="Calibri"/>
              </w:rPr>
              <w:t>0.42</w:t>
            </w:r>
          </w:p>
        </w:tc>
      </w:tr>
      <w:tr w:rsidR="00787757" w:rsidRPr="008675CA" w14:paraId="1C750147" w14:textId="77777777" w:rsidTr="00787757">
        <w:trPr>
          <w:trHeight w:val="317"/>
        </w:trPr>
        <w:tc>
          <w:tcPr>
            <w:tcW w:w="1576" w:type="pct"/>
            <w:shd w:val="clear" w:color="auto" w:fill="auto"/>
            <w:vAlign w:val="center"/>
            <w:hideMark/>
          </w:tcPr>
          <w:p w14:paraId="72F2353D" w14:textId="77777777" w:rsidR="00F93FF9" w:rsidRPr="008675CA" w:rsidRDefault="00F93FF9" w:rsidP="00CF097D">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Depreciation</w:t>
            </w:r>
          </w:p>
        </w:tc>
        <w:tc>
          <w:tcPr>
            <w:tcW w:w="1247" w:type="pct"/>
            <w:shd w:val="clear" w:color="auto" w:fill="auto"/>
            <w:noWrap/>
            <w:vAlign w:val="center"/>
          </w:tcPr>
          <w:p w14:paraId="50F16C55" w14:textId="77777777" w:rsidR="00F93FF9" w:rsidRPr="008675CA" w:rsidRDefault="00F93FF9" w:rsidP="00CF097D">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15.14</w:t>
            </w:r>
          </w:p>
        </w:tc>
        <w:tc>
          <w:tcPr>
            <w:tcW w:w="1089" w:type="pct"/>
            <w:vAlign w:val="center"/>
          </w:tcPr>
          <w:p w14:paraId="58D5C66E" w14:textId="1C958763" w:rsidR="00F93FF9" w:rsidRPr="008675CA" w:rsidRDefault="00265343" w:rsidP="00CF097D">
            <w:pPr>
              <w:spacing w:after="0" w:line="240" w:lineRule="auto"/>
              <w:jc w:val="center"/>
              <w:rPr>
                <w:rFonts w:asciiTheme="majorHAnsi" w:eastAsia="Times New Roman" w:hAnsiTheme="majorHAnsi" w:cs="Calibri"/>
              </w:rPr>
            </w:pPr>
            <w:r>
              <w:rPr>
                <w:rFonts w:asciiTheme="majorHAnsi" w:eastAsia="Times New Roman" w:hAnsiTheme="majorHAnsi" w:cs="Calibri"/>
              </w:rPr>
              <w:t>2.27</w:t>
            </w:r>
          </w:p>
        </w:tc>
        <w:tc>
          <w:tcPr>
            <w:tcW w:w="1088" w:type="pct"/>
            <w:vAlign w:val="center"/>
          </w:tcPr>
          <w:p w14:paraId="1C2A43BA" w14:textId="77777777" w:rsidR="00F93FF9" w:rsidRPr="008675CA" w:rsidRDefault="00787757" w:rsidP="00CF097D">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12.87</w:t>
            </w:r>
          </w:p>
        </w:tc>
      </w:tr>
      <w:tr w:rsidR="00787757" w:rsidRPr="008675CA" w14:paraId="5D76771C" w14:textId="77777777" w:rsidTr="00787757">
        <w:trPr>
          <w:trHeight w:val="317"/>
        </w:trPr>
        <w:tc>
          <w:tcPr>
            <w:tcW w:w="1576" w:type="pct"/>
            <w:shd w:val="clear" w:color="auto" w:fill="auto"/>
            <w:vAlign w:val="center"/>
            <w:hideMark/>
          </w:tcPr>
          <w:p w14:paraId="4FBEB7F1" w14:textId="77777777" w:rsidR="00F93FF9" w:rsidRPr="008675CA" w:rsidRDefault="00F93FF9" w:rsidP="00CF097D">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Interest &amp; Finance charges</w:t>
            </w:r>
          </w:p>
        </w:tc>
        <w:tc>
          <w:tcPr>
            <w:tcW w:w="1247" w:type="pct"/>
            <w:shd w:val="clear" w:color="auto" w:fill="auto"/>
            <w:noWrap/>
            <w:vAlign w:val="center"/>
          </w:tcPr>
          <w:p w14:paraId="62A36666" w14:textId="77777777" w:rsidR="00F93FF9" w:rsidRPr="008675CA" w:rsidRDefault="00F93FF9" w:rsidP="00CF097D">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14.82</w:t>
            </w:r>
          </w:p>
        </w:tc>
        <w:tc>
          <w:tcPr>
            <w:tcW w:w="1089" w:type="pct"/>
            <w:vAlign w:val="center"/>
          </w:tcPr>
          <w:p w14:paraId="319C4CB1" w14:textId="77777777" w:rsidR="00F93FF9" w:rsidRPr="008675CA" w:rsidRDefault="00F93FF9" w:rsidP="00CF097D">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w:t>
            </w:r>
          </w:p>
        </w:tc>
        <w:tc>
          <w:tcPr>
            <w:tcW w:w="1088" w:type="pct"/>
            <w:vAlign w:val="center"/>
          </w:tcPr>
          <w:p w14:paraId="543702E2" w14:textId="77777777" w:rsidR="00F93FF9" w:rsidRPr="008675CA" w:rsidRDefault="00787757" w:rsidP="00CF097D">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14.82</w:t>
            </w:r>
          </w:p>
        </w:tc>
      </w:tr>
      <w:tr w:rsidR="00787757" w:rsidRPr="008675CA" w14:paraId="060E75AB" w14:textId="77777777" w:rsidTr="00787757">
        <w:trPr>
          <w:trHeight w:val="317"/>
        </w:trPr>
        <w:tc>
          <w:tcPr>
            <w:tcW w:w="1576" w:type="pct"/>
            <w:shd w:val="clear" w:color="auto" w:fill="auto"/>
            <w:vAlign w:val="center"/>
            <w:hideMark/>
          </w:tcPr>
          <w:p w14:paraId="24C4534D" w14:textId="77777777" w:rsidR="00F93FF9" w:rsidRPr="008675CA" w:rsidRDefault="00F93FF9" w:rsidP="00CF097D">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 xml:space="preserve">Return on Equity </w:t>
            </w:r>
          </w:p>
        </w:tc>
        <w:tc>
          <w:tcPr>
            <w:tcW w:w="1247" w:type="pct"/>
            <w:shd w:val="clear" w:color="auto" w:fill="auto"/>
            <w:noWrap/>
            <w:vAlign w:val="center"/>
          </w:tcPr>
          <w:p w14:paraId="1ABC7A8E" w14:textId="77777777" w:rsidR="00F93FF9" w:rsidRPr="008675CA" w:rsidRDefault="00C72BE6" w:rsidP="00CF097D">
            <w:pPr>
              <w:spacing w:after="0" w:line="240" w:lineRule="auto"/>
              <w:jc w:val="center"/>
              <w:rPr>
                <w:rFonts w:asciiTheme="majorHAnsi" w:eastAsia="Times New Roman" w:hAnsiTheme="majorHAnsi" w:cs="Calibri"/>
              </w:rPr>
            </w:pPr>
            <w:r>
              <w:rPr>
                <w:rFonts w:asciiTheme="majorHAnsi" w:eastAsia="Times New Roman" w:hAnsiTheme="majorHAnsi" w:cs="Calibri"/>
              </w:rPr>
              <w:t>34.49</w:t>
            </w:r>
          </w:p>
        </w:tc>
        <w:tc>
          <w:tcPr>
            <w:tcW w:w="1089" w:type="pct"/>
            <w:vAlign w:val="center"/>
          </w:tcPr>
          <w:p w14:paraId="4BB65B4C" w14:textId="77777777" w:rsidR="00F93FF9" w:rsidRPr="008675CA" w:rsidRDefault="00F93FF9" w:rsidP="00CF097D">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2.07</w:t>
            </w:r>
          </w:p>
        </w:tc>
        <w:tc>
          <w:tcPr>
            <w:tcW w:w="1088" w:type="pct"/>
            <w:vAlign w:val="center"/>
          </w:tcPr>
          <w:p w14:paraId="2DD957EA" w14:textId="77777777" w:rsidR="00F93FF9" w:rsidRPr="008675CA" w:rsidRDefault="00092846" w:rsidP="00CF097D">
            <w:pPr>
              <w:spacing w:after="0" w:line="240" w:lineRule="auto"/>
              <w:jc w:val="center"/>
              <w:rPr>
                <w:rFonts w:asciiTheme="majorHAnsi" w:eastAsia="Times New Roman" w:hAnsiTheme="majorHAnsi" w:cs="Calibri"/>
              </w:rPr>
            </w:pPr>
            <w:r>
              <w:rPr>
                <w:rFonts w:asciiTheme="majorHAnsi" w:eastAsia="Times New Roman" w:hAnsiTheme="majorHAnsi" w:cs="Calibri"/>
              </w:rPr>
              <w:t>32.42</w:t>
            </w:r>
          </w:p>
        </w:tc>
      </w:tr>
      <w:tr w:rsidR="00787757" w:rsidRPr="008675CA" w14:paraId="0D953101" w14:textId="77777777" w:rsidTr="00787757">
        <w:trPr>
          <w:trHeight w:val="317"/>
        </w:trPr>
        <w:tc>
          <w:tcPr>
            <w:tcW w:w="1576" w:type="pct"/>
            <w:shd w:val="clear" w:color="auto" w:fill="auto"/>
            <w:vAlign w:val="center"/>
            <w:hideMark/>
          </w:tcPr>
          <w:p w14:paraId="73C4C36F" w14:textId="77777777" w:rsidR="00F93FF9" w:rsidRPr="008675CA" w:rsidRDefault="00F93FF9" w:rsidP="00CF097D">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Interest on Working Capital</w:t>
            </w:r>
          </w:p>
        </w:tc>
        <w:tc>
          <w:tcPr>
            <w:tcW w:w="1247" w:type="pct"/>
            <w:shd w:val="clear" w:color="auto" w:fill="auto"/>
            <w:noWrap/>
            <w:vAlign w:val="center"/>
          </w:tcPr>
          <w:p w14:paraId="5E8A80DE" w14:textId="74C072F3" w:rsidR="00F93FF9" w:rsidRPr="008675CA" w:rsidRDefault="00265343" w:rsidP="00CF097D">
            <w:pPr>
              <w:spacing w:after="0" w:line="240" w:lineRule="auto"/>
              <w:jc w:val="center"/>
              <w:rPr>
                <w:rFonts w:asciiTheme="majorHAnsi" w:eastAsia="Times New Roman" w:hAnsiTheme="majorHAnsi" w:cs="Calibri"/>
              </w:rPr>
            </w:pPr>
            <w:r>
              <w:rPr>
                <w:rFonts w:asciiTheme="majorHAnsi" w:eastAsia="Times New Roman" w:hAnsiTheme="majorHAnsi" w:cs="Calibri"/>
              </w:rPr>
              <w:t>7.32</w:t>
            </w:r>
          </w:p>
        </w:tc>
        <w:tc>
          <w:tcPr>
            <w:tcW w:w="1089" w:type="pct"/>
            <w:vAlign w:val="center"/>
          </w:tcPr>
          <w:p w14:paraId="027EB51F" w14:textId="77777777" w:rsidR="00F93FF9" w:rsidRPr="008675CA" w:rsidRDefault="00F93FF9" w:rsidP="00CF097D">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1.72</w:t>
            </w:r>
          </w:p>
        </w:tc>
        <w:tc>
          <w:tcPr>
            <w:tcW w:w="1088" w:type="pct"/>
            <w:vAlign w:val="center"/>
          </w:tcPr>
          <w:p w14:paraId="51F70C06" w14:textId="77777777" w:rsidR="00F93FF9" w:rsidRPr="008675CA" w:rsidRDefault="00C72BE6" w:rsidP="00CF097D">
            <w:pPr>
              <w:spacing w:after="0" w:line="240" w:lineRule="auto"/>
              <w:jc w:val="center"/>
              <w:rPr>
                <w:rFonts w:asciiTheme="majorHAnsi" w:eastAsia="Times New Roman" w:hAnsiTheme="majorHAnsi" w:cs="Calibri"/>
              </w:rPr>
            </w:pPr>
            <w:r>
              <w:rPr>
                <w:rFonts w:asciiTheme="majorHAnsi" w:eastAsia="Times New Roman" w:hAnsiTheme="majorHAnsi" w:cs="Calibri"/>
              </w:rPr>
              <w:t>2.13</w:t>
            </w:r>
          </w:p>
        </w:tc>
      </w:tr>
      <w:tr w:rsidR="00787757" w:rsidRPr="008675CA" w14:paraId="641C05B7" w14:textId="77777777" w:rsidTr="00787757">
        <w:trPr>
          <w:trHeight w:val="317"/>
        </w:trPr>
        <w:tc>
          <w:tcPr>
            <w:tcW w:w="1576" w:type="pct"/>
            <w:shd w:val="clear" w:color="auto" w:fill="auto"/>
            <w:vAlign w:val="center"/>
            <w:hideMark/>
          </w:tcPr>
          <w:p w14:paraId="2F85B048" w14:textId="77777777" w:rsidR="00F93FF9" w:rsidRPr="008675CA" w:rsidRDefault="00F93FF9" w:rsidP="00CF097D">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SLDC Charges</w:t>
            </w:r>
          </w:p>
        </w:tc>
        <w:tc>
          <w:tcPr>
            <w:tcW w:w="1247" w:type="pct"/>
            <w:shd w:val="clear" w:color="auto" w:fill="auto"/>
            <w:noWrap/>
            <w:vAlign w:val="center"/>
          </w:tcPr>
          <w:p w14:paraId="36C8877C" w14:textId="1A529B8B" w:rsidR="00F93FF9" w:rsidRPr="008675CA" w:rsidRDefault="00265343" w:rsidP="00CF097D">
            <w:pPr>
              <w:spacing w:after="0" w:line="240" w:lineRule="auto"/>
              <w:jc w:val="center"/>
              <w:rPr>
                <w:rFonts w:asciiTheme="majorHAnsi" w:eastAsia="Times New Roman" w:hAnsiTheme="majorHAnsi" w:cs="Calibri"/>
              </w:rPr>
            </w:pPr>
            <w:r>
              <w:rPr>
                <w:rFonts w:asciiTheme="majorHAnsi" w:eastAsia="Times New Roman" w:hAnsiTheme="majorHAnsi" w:cs="Calibri"/>
              </w:rPr>
              <w:t>1.48</w:t>
            </w:r>
          </w:p>
        </w:tc>
        <w:tc>
          <w:tcPr>
            <w:tcW w:w="1089" w:type="pct"/>
            <w:vAlign w:val="center"/>
          </w:tcPr>
          <w:p w14:paraId="460264E8" w14:textId="3EC8A834" w:rsidR="00F93FF9" w:rsidRPr="008675CA" w:rsidRDefault="00265343" w:rsidP="00CF097D">
            <w:pPr>
              <w:spacing w:after="0" w:line="240" w:lineRule="auto"/>
              <w:jc w:val="center"/>
              <w:rPr>
                <w:rFonts w:asciiTheme="majorHAnsi" w:eastAsia="Times New Roman" w:hAnsiTheme="majorHAnsi" w:cs="Calibri"/>
              </w:rPr>
            </w:pPr>
            <w:r>
              <w:rPr>
                <w:rFonts w:asciiTheme="majorHAnsi" w:eastAsia="Times New Roman" w:hAnsiTheme="majorHAnsi" w:cs="Calibri"/>
              </w:rPr>
              <w:t>1.48</w:t>
            </w:r>
          </w:p>
        </w:tc>
        <w:tc>
          <w:tcPr>
            <w:tcW w:w="1088" w:type="pct"/>
            <w:vAlign w:val="center"/>
          </w:tcPr>
          <w:p w14:paraId="64E5EF59" w14:textId="77777777" w:rsidR="00F93FF9" w:rsidRPr="008675CA" w:rsidRDefault="00787757" w:rsidP="00CF097D">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0</w:t>
            </w:r>
          </w:p>
        </w:tc>
      </w:tr>
      <w:tr w:rsidR="00787757" w:rsidRPr="008675CA" w14:paraId="0F21D74D" w14:textId="77777777" w:rsidTr="00787757">
        <w:trPr>
          <w:trHeight w:val="317"/>
        </w:trPr>
        <w:tc>
          <w:tcPr>
            <w:tcW w:w="1576" w:type="pct"/>
            <w:shd w:val="clear" w:color="auto" w:fill="auto"/>
            <w:vAlign w:val="center"/>
            <w:hideMark/>
          </w:tcPr>
          <w:p w14:paraId="22143C43" w14:textId="77777777" w:rsidR="00F93FF9" w:rsidRPr="008675CA" w:rsidRDefault="00F93FF9" w:rsidP="00CF097D">
            <w:pPr>
              <w:spacing w:after="0" w:line="240" w:lineRule="auto"/>
              <w:ind w:left="-15"/>
              <w:rPr>
                <w:rFonts w:asciiTheme="majorHAnsi" w:eastAsia="Times New Roman" w:hAnsiTheme="majorHAnsi" w:cs="Calibri"/>
                <w:b/>
                <w:bCs/>
              </w:rPr>
            </w:pPr>
            <w:r w:rsidRPr="008675CA">
              <w:rPr>
                <w:rFonts w:asciiTheme="majorHAnsi" w:eastAsia="Times New Roman" w:hAnsiTheme="majorHAnsi" w:cs="Calibri"/>
                <w:b/>
                <w:bCs/>
              </w:rPr>
              <w:t>Gross AFC</w:t>
            </w:r>
          </w:p>
        </w:tc>
        <w:tc>
          <w:tcPr>
            <w:tcW w:w="1247" w:type="pct"/>
            <w:shd w:val="clear" w:color="auto" w:fill="auto"/>
            <w:noWrap/>
            <w:vAlign w:val="center"/>
          </w:tcPr>
          <w:p w14:paraId="7D5896B3" w14:textId="4A40CBD8" w:rsidR="00F93FF9" w:rsidRPr="008675CA" w:rsidRDefault="00265343" w:rsidP="00CF097D">
            <w:pPr>
              <w:spacing w:after="0" w:line="240" w:lineRule="auto"/>
              <w:jc w:val="center"/>
              <w:rPr>
                <w:rFonts w:asciiTheme="majorHAnsi" w:eastAsia="Times New Roman" w:hAnsiTheme="majorHAnsi" w:cs="Times New Roman"/>
                <w:b/>
              </w:rPr>
            </w:pPr>
            <w:r>
              <w:rPr>
                <w:rFonts w:asciiTheme="majorHAnsi" w:eastAsia="Times New Roman" w:hAnsiTheme="majorHAnsi" w:cs="Times New Roman"/>
                <w:b/>
              </w:rPr>
              <w:t>182.89</w:t>
            </w:r>
          </w:p>
        </w:tc>
        <w:tc>
          <w:tcPr>
            <w:tcW w:w="1089" w:type="pct"/>
            <w:vAlign w:val="center"/>
          </w:tcPr>
          <w:p w14:paraId="4A9A525A" w14:textId="7CCDD11B" w:rsidR="00F93FF9" w:rsidRPr="008675CA" w:rsidRDefault="00265343" w:rsidP="00CF097D">
            <w:pPr>
              <w:spacing w:after="0" w:line="240" w:lineRule="auto"/>
              <w:jc w:val="center"/>
              <w:rPr>
                <w:rFonts w:asciiTheme="majorHAnsi" w:eastAsia="Times New Roman" w:hAnsiTheme="majorHAnsi" w:cs="Calibri"/>
                <w:b/>
                <w:bCs/>
              </w:rPr>
            </w:pPr>
            <w:r>
              <w:rPr>
                <w:rFonts w:asciiTheme="majorHAnsi" w:eastAsia="Times New Roman" w:hAnsiTheme="majorHAnsi" w:cs="Calibri"/>
                <w:b/>
                <w:bCs/>
              </w:rPr>
              <w:t>52.40</w:t>
            </w:r>
          </w:p>
        </w:tc>
        <w:tc>
          <w:tcPr>
            <w:tcW w:w="1088" w:type="pct"/>
            <w:vAlign w:val="center"/>
          </w:tcPr>
          <w:p w14:paraId="1D563451" w14:textId="614C8C9D" w:rsidR="00F93FF9" w:rsidRPr="008675CA" w:rsidRDefault="00265343" w:rsidP="00CF097D">
            <w:pPr>
              <w:spacing w:after="0" w:line="240" w:lineRule="auto"/>
              <w:jc w:val="center"/>
              <w:rPr>
                <w:rFonts w:asciiTheme="majorHAnsi" w:eastAsia="Times New Roman" w:hAnsiTheme="majorHAnsi" w:cs="Times New Roman"/>
                <w:b/>
              </w:rPr>
            </w:pPr>
            <w:r>
              <w:rPr>
                <w:rFonts w:asciiTheme="majorHAnsi" w:eastAsia="Times New Roman" w:hAnsiTheme="majorHAnsi" w:cs="Times New Roman"/>
                <w:b/>
              </w:rPr>
              <w:t>130.49</w:t>
            </w:r>
          </w:p>
        </w:tc>
      </w:tr>
      <w:tr w:rsidR="00787757" w:rsidRPr="008675CA" w14:paraId="043EAE68" w14:textId="77777777" w:rsidTr="00787757">
        <w:trPr>
          <w:trHeight w:val="317"/>
        </w:trPr>
        <w:tc>
          <w:tcPr>
            <w:tcW w:w="1576" w:type="pct"/>
            <w:shd w:val="clear" w:color="auto" w:fill="auto"/>
            <w:vAlign w:val="center"/>
            <w:hideMark/>
          </w:tcPr>
          <w:p w14:paraId="204D7094" w14:textId="77777777" w:rsidR="00F93FF9" w:rsidRPr="008675CA" w:rsidRDefault="00F93FF9" w:rsidP="00CF097D">
            <w:pPr>
              <w:spacing w:after="0" w:line="240" w:lineRule="auto"/>
              <w:ind w:left="-15"/>
              <w:rPr>
                <w:rFonts w:asciiTheme="majorHAnsi" w:eastAsia="Times New Roman" w:hAnsiTheme="majorHAnsi" w:cs="Calibri"/>
                <w:bCs/>
              </w:rPr>
            </w:pPr>
            <w:r w:rsidRPr="008675CA">
              <w:rPr>
                <w:rFonts w:asciiTheme="majorHAnsi" w:eastAsia="Times New Roman" w:hAnsiTheme="majorHAnsi" w:cs="Calibri"/>
                <w:bCs/>
              </w:rPr>
              <w:t xml:space="preserve">Less: </w:t>
            </w:r>
            <w:r w:rsidRPr="008675CA">
              <w:rPr>
                <w:rFonts w:asciiTheme="majorHAnsi" w:eastAsia="Times New Roman" w:hAnsiTheme="majorHAnsi" w:cs="Calibri"/>
              </w:rPr>
              <w:t>Non-Tariff Income</w:t>
            </w:r>
          </w:p>
        </w:tc>
        <w:tc>
          <w:tcPr>
            <w:tcW w:w="1247" w:type="pct"/>
            <w:shd w:val="clear" w:color="auto" w:fill="auto"/>
            <w:noWrap/>
            <w:vAlign w:val="center"/>
          </w:tcPr>
          <w:p w14:paraId="55E49BCE" w14:textId="77777777" w:rsidR="00F93FF9" w:rsidRPr="008675CA" w:rsidRDefault="00F93FF9" w:rsidP="00CF097D">
            <w:pPr>
              <w:spacing w:after="0" w:line="240" w:lineRule="auto"/>
              <w:jc w:val="center"/>
              <w:rPr>
                <w:rFonts w:asciiTheme="majorHAnsi" w:eastAsia="Times New Roman" w:hAnsiTheme="majorHAnsi" w:cs="Calibri"/>
                <w:bCs/>
              </w:rPr>
            </w:pPr>
            <w:r w:rsidRPr="008675CA">
              <w:rPr>
                <w:rFonts w:asciiTheme="majorHAnsi" w:eastAsia="Times New Roman" w:hAnsiTheme="majorHAnsi" w:cs="Calibri"/>
                <w:bCs/>
              </w:rPr>
              <w:t>14.80+4.90=19.75</w:t>
            </w:r>
          </w:p>
        </w:tc>
        <w:tc>
          <w:tcPr>
            <w:tcW w:w="1089" w:type="pct"/>
            <w:vAlign w:val="center"/>
          </w:tcPr>
          <w:p w14:paraId="3E3A16F6" w14:textId="77777777" w:rsidR="00F93FF9" w:rsidRPr="008675CA" w:rsidRDefault="00F93FF9" w:rsidP="00CF097D">
            <w:pPr>
              <w:spacing w:after="0" w:line="240" w:lineRule="auto"/>
              <w:jc w:val="center"/>
              <w:rPr>
                <w:rFonts w:asciiTheme="majorHAnsi" w:eastAsia="Times New Roman" w:hAnsiTheme="majorHAnsi" w:cs="Calibri"/>
              </w:rPr>
            </w:pPr>
            <w:r w:rsidRPr="008675CA">
              <w:rPr>
                <w:rFonts w:asciiTheme="majorHAnsi" w:eastAsia="Times New Roman" w:hAnsiTheme="majorHAnsi" w:cs="Calibri"/>
              </w:rPr>
              <w:t>18.86</w:t>
            </w:r>
          </w:p>
        </w:tc>
        <w:tc>
          <w:tcPr>
            <w:tcW w:w="1088" w:type="pct"/>
            <w:vAlign w:val="center"/>
          </w:tcPr>
          <w:p w14:paraId="558FAF23" w14:textId="77777777" w:rsidR="00F93FF9" w:rsidRPr="008675CA" w:rsidRDefault="00F93FF9" w:rsidP="00CF097D">
            <w:pPr>
              <w:spacing w:after="0" w:line="240" w:lineRule="auto"/>
              <w:jc w:val="center"/>
              <w:rPr>
                <w:rFonts w:asciiTheme="majorHAnsi" w:eastAsia="Times New Roman" w:hAnsiTheme="majorHAnsi" w:cs="Calibri"/>
                <w:b/>
                <w:bCs/>
              </w:rPr>
            </w:pPr>
          </w:p>
        </w:tc>
      </w:tr>
      <w:tr w:rsidR="00787757" w:rsidRPr="008675CA" w14:paraId="275567F4" w14:textId="77777777" w:rsidTr="00787757">
        <w:trPr>
          <w:trHeight w:val="317"/>
        </w:trPr>
        <w:tc>
          <w:tcPr>
            <w:tcW w:w="1576" w:type="pct"/>
            <w:shd w:val="clear" w:color="auto" w:fill="auto"/>
            <w:vAlign w:val="center"/>
            <w:hideMark/>
          </w:tcPr>
          <w:p w14:paraId="73B57357" w14:textId="77777777" w:rsidR="00F93FF9" w:rsidRPr="008675CA" w:rsidRDefault="00F93FF9" w:rsidP="00CF097D">
            <w:pPr>
              <w:spacing w:after="0" w:line="240" w:lineRule="auto"/>
              <w:ind w:left="-15"/>
              <w:rPr>
                <w:rFonts w:asciiTheme="majorHAnsi" w:eastAsia="Times New Roman" w:hAnsiTheme="majorHAnsi" w:cs="Calibri"/>
                <w:b/>
                <w:bCs/>
              </w:rPr>
            </w:pPr>
            <w:r w:rsidRPr="008675CA">
              <w:rPr>
                <w:rFonts w:asciiTheme="majorHAnsi" w:eastAsia="Times New Roman" w:hAnsiTheme="majorHAnsi" w:cs="Calibri"/>
                <w:b/>
                <w:bCs/>
              </w:rPr>
              <w:t>Net AFC</w:t>
            </w:r>
          </w:p>
        </w:tc>
        <w:tc>
          <w:tcPr>
            <w:tcW w:w="1247" w:type="pct"/>
            <w:shd w:val="clear" w:color="auto" w:fill="auto"/>
            <w:noWrap/>
            <w:vAlign w:val="center"/>
          </w:tcPr>
          <w:p w14:paraId="1316CD37" w14:textId="4BB37F6B" w:rsidR="00F93FF9" w:rsidRPr="008675CA" w:rsidRDefault="00265343" w:rsidP="00CF097D">
            <w:pPr>
              <w:spacing w:after="0" w:line="240" w:lineRule="auto"/>
              <w:jc w:val="center"/>
              <w:rPr>
                <w:rFonts w:asciiTheme="majorHAnsi" w:eastAsia="Times New Roman" w:hAnsiTheme="majorHAnsi" w:cs="Calibri"/>
                <w:b/>
              </w:rPr>
            </w:pPr>
            <w:r>
              <w:rPr>
                <w:rFonts w:asciiTheme="majorHAnsi" w:eastAsia="Times New Roman" w:hAnsiTheme="majorHAnsi" w:cs="Calibri"/>
                <w:b/>
              </w:rPr>
              <w:t>163.14</w:t>
            </w:r>
          </w:p>
        </w:tc>
        <w:tc>
          <w:tcPr>
            <w:tcW w:w="1089" w:type="pct"/>
            <w:vAlign w:val="center"/>
          </w:tcPr>
          <w:p w14:paraId="6CCB6D27" w14:textId="5471A1ED" w:rsidR="00F93FF9" w:rsidRPr="008675CA" w:rsidRDefault="00265343" w:rsidP="00CF097D">
            <w:pPr>
              <w:spacing w:after="0" w:line="240" w:lineRule="auto"/>
              <w:jc w:val="center"/>
              <w:rPr>
                <w:rFonts w:asciiTheme="majorHAnsi" w:eastAsia="Times New Roman" w:hAnsiTheme="majorHAnsi" w:cs="Calibri"/>
                <w:b/>
                <w:bCs/>
              </w:rPr>
            </w:pPr>
            <w:r>
              <w:rPr>
                <w:rFonts w:asciiTheme="majorHAnsi" w:eastAsia="Times New Roman" w:hAnsiTheme="majorHAnsi" w:cs="Calibri"/>
                <w:b/>
                <w:bCs/>
              </w:rPr>
              <w:t>33.54</w:t>
            </w:r>
          </w:p>
        </w:tc>
        <w:tc>
          <w:tcPr>
            <w:tcW w:w="1088" w:type="pct"/>
            <w:vAlign w:val="center"/>
          </w:tcPr>
          <w:p w14:paraId="53275785" w14:textId="50BB4D48" w:rsidR="00F93FF9" w:rsidRPr="008675CA" w:rsidRDefault="00265343" w:rsidP="00CF097D">
            <w:pPr>
              <w:spacing w:after="0" w:line="240" w:lineRule="auto"/>
              <w:jc w:val="center"/>
              <w:rPr>
                <w:rFonts w:asciiTheme="majorHAnsi" w:eastAsia="Times New Roman" w:hAnsiTheme="majorHAnsi" w:cs="Calibri"/>
                <w:b/>
              </w:rPr>
            </w:pPr>
            <w:r>
              <w:rPr>
                <w:rFonts w:asciiTheme="majorHAnsi" w:eastAsia="Times New Roman" w:hAnsiTheme="majorHAnsi" w:cs="Calibri"/>
                <w:b/>
              </w:rPr>
              <w:t>129.60</w:t>
            </w:r>
          </w:p>
        </w:tc>
      </w:tr>
      <w:tr w:rsidR="00787757" w:rsidRPr="008675CA" w14:paraId="22FADB0D" w14:textId="77777777" w:rsidTr="00787757">
        <w:trPr>
          <w:trHeight w:val="317"/>
        </w:trPr>
        <w:tc>
          <w:tcPr>
            <w:tcW w:w="1576" w:type="pct"/>
            <w:shd w:val="clear" w:color="auto" w:fill="auto"/>
            <w:vAlign w:val="center"/>
            <w:hideMark/>
          </w:tcPr>
          <w:p w14:paraId="1281BEEE" w14:textId="77777777" w:rsidR="00F93FF9" w:rsidRPr="008675CA" w:rsidRDefault="00F93FF9" w:rsidP="00CF097D">
            <w:pPr>
              <w:spacing w:after="0" w:line="240" w:lineRule="auto"/>
              <w:ind w:left="-15"/>
              <w:rPr>
                <w:rFonts w:asciiTheme="majorHAnsi" w:eastAsia="Times New Roman" w:hAnsiTheme="majorHAnsi" w:cs="Calibri"/>
              </w:rPr>
            </w:pPr>
            <w:r w:rsidRPr="008675CA">
              <w:rPr>
                <w:rFonts w:asciiTheme="majorHAnsi" w:eastAsia="Times New Roman" w:hAnsiTheme="majorHAnsi" w:cs="Calibri"/>
              </w:rPr>
              <w:t xml:space="preserve">Revenue from operations </w:t>
            </w:r>
          </w:p>
        </w:tc>
        <w:tc>
          <w:tcPr>
            <w:tcW w:w="1247" w:type="pct"/>
            <w:shd w:val="clear" w:color="auto" w:fill="auto"/>
            <w:noWrap/>
            <w:vAlign w:val="center"/>
          </w:tcPr>
          <w:p w14:paraId="16866849" w14:textId="77777777" w:rsidR="00F93FF9" w:rsidRPr="008675CA" w:rsidRDefault="00F93FF9" w:rsidP="00CF097D">
            <w:pPr>
              <w:spacing w:after="0" w:line="240" w:lineRule="auto"/>
              <w:jc w:val="center"/>
              <w:rPr>
                <w:rFonts w:asciiTheme="majorHAnsi" w:eastAsia="Times New Roman" w:hAnsiTheme="majorHAnsi" w:cs="Calibri"/>
                <w:bCs/>
              </w:rPr>
            </w:pPr>
            <w:r w:rsidRPr="008675CA">
              <w:rPr>
                <w:rFonts w:asciiTheme="majorHAnsi" w:eastAsia="Times New Roman" w:hAnsiTheme="majorHAnsi" w:cs="Calibri"/>
                <w:bCs/>
              </w:rPr>
              <w:t>95.88</w:t>
            </w:r>
          </w:p>
        </w:tc>
        <w:tc>
          <w:tcPr>
            <w:tcW w:w="1089" w:type="pct"/>
          </w:tcPr>
          <w:p w14:paraId="3D5B785C" w14:textId="77777777" w:rsidR="00F93FF9" w:rsidRPr="008675CA" w:rsidRDefault="00F93FF9" w:rsidP="00CF097D">
            <w:pPr>
              <w:spacing w:after="0" w:line="240" w:lineRule="auto"/>
              <w:jc w:val="center"/>
              <w:rPr>
                <w:rFonts w:asciiTheme="majorHAnsi" w:eastAsia="Times New Roman" w:hAnsiTheme="majorHAnsi" w:cs="Calibri"/>
                <w:highlight w:val="yellow"/>
              </w:rPr>
            </w:pPr>
          </w:p>
        </w:tc>
        <w:tc>
          <w:tcPr>
            <w:tcW w:w="1088" w:type="pct"/>
            <w:vAlign w:val="center"/>
          </w:tcPr>
          <w:p w14:paraId="792531F7" w14:textId="77777777" w:rsidR="00F93FF9" w:rsidRPr="008675CA" w:rsidRDefault="00F93FF9" w:rsidP="00CF097D">
            <w:pPr>
              <w:spacing w:after="0" w:line="240" w:lineRule="auto"/>
              <w:jc w:val="center"/>
              <w:rPr>
                <w:rFonts w:asciiTheme="majorHAnsi" w:eastAsia="Times New Roman" w:hAnsiTheme="majorHAnsi" w:cs="Calibri"/>
                <w:b/>
                <w:bCs/>
              </w:rPr>
            </w:pPr>
          </w:p>
        </w:tc>
      </w:tr>
      <w:tr w:rsidR="00787757" w:rsidRPr="008675CA" w14:paraId="5D9FDD5F" w14:textId="77777777" w:rsidTr="00787757">
        <w:trPr>
          <w:trHeight w:val="191"/>
        </w:trPr>
        <w:tc>
          <w:tcPr>
            <w:tcW w:w="1576" w:type="pct"/>
            <w:shd w:val="clear" w:color="auto" w:fill="auto"/>
            <w:vAlign w:val="center"/>
            <w:hideMark/>
          </w:tcPr>
          <w:p w14:paraId="0CB24131" w14:textId="77777777" w:rsidR="00F93FF9" w:rsidRPr="008675CA" w:rsidRDefault="00F93FF9" w:rsidP="00CF097D">
            <w:pPr>
              <w:spacing w:after="0" w:line="240" w:lineRule="auto"/>
              <w:rPr>
                <w:rFonts w:asciiTheme="majorHAnsi" w:eastAsia="Times New Roman" w:hAnsiTheme="majorHAnsi" w:cs="Calibri"/>
                <w:b/>
                <w:bCs/>
              </w:rPr>
            </w:pPr>
            <w:r w:rsidRPr="008675CA">
              <w:rPr>
                <w:rFonts w:asciiTheme="majorHAnsi" w:eastAsia="Times New Roman" w:hAnsiTheme="majorHAnsi" w:cs="Calibri"/>
                <w:b/>
                <w:bCs/>
              </w:rPr>
              <w:t>Gap (surplus)</w:t>
            </w:r>
          </w:p>
        </w:tc>
        <w:tc>
          <w:tcPr>
            <w:tcW w:w="1247" w:type="pct"/>
            <w:shd w:val="clear" w:color="auto" w:fill="auto"/>
            <w:noWrap/>
            <w:vAlign w:val="center"/>
          </w:tcPr>
          <w:p w14:paraId="2D7BA282" w14:textId="749BE082" w:rsidR="00F93FF9" w:rsidRPr="008675CA" w:rsidRDefault="00265343" w:rsidP="00CF097D">
            <w:pPr>
              <w:spacing w:after="0" w:line="240" w:lineRule="auto"/>
              <w:jc w:val="center"/>
              <w:rPr>
                <w:rFonts w:asciiTheme="majorHAnsi" w:eastAsia="Times New Roman" w:hAnsiTheme="majorHAnsi" w:cs="Calibri"/>
                <w:b/>
              </w:rPr>
            </w:pPr>
            <w:r>
              <w:rPr>
                <w:rFonts w:asciiTheme="majorHAnsi" w:eastAsia="Times New Roman" w:hAnsiTheme="majorHAnsi" w:cs="Calibri"/>
                <w:b/>
              </w:rPr>
              <w:t>67.26</w:t>
            </w:r>
          </w:p>
        </w:tc>
        <w:tc>
          <w:tcPr>
            <w:tcW w:w="1089" w:type="pct"/>
          </w:tcPr>
          <w:p w14:paraId="7B16276B" w14:textId="59A581DA" w:rsidR="00F93FF9" w:rsidRPr="008675CA" w:rsidRDefault="00265343" w:rsidP="00CF097D">
            <w:pPr>
              <w:spacing w:after="0" w:line="240" w:lineRule="auto"/>
              <w:jc w:val="center"/>
              <w:rPr>
                <w:rFonts w:asciiTheme="majorHAnsi" w:eastAsia="Times New Roman" w:hAnsiTheme="majorHAnsi" w:cs="Calibri"/>
                <w:b/>
                <w:bCs/>
              </w:rPr>
            </w:pPr>
            <w:r>
              <w:rPr>
                <w:rFonts w:asciiTheme="majorHAnsi" w:eastAsia="Times New Roman" w:hAnsiTheme="majorHAnsi" w:cs="Calibri"/>
                <w:b/>
                <w:bCs/>
              </w:rPr>
              <w:t>-62.34</w:t>
            </w:r>
          </w:p>
        </w:tc>
        <w:tc>
          <w:tcPr>
            <w:tcW w:w="1088" w:type="pct"/>
            <w:vAlign w:val="center"/>
          </w:tcPr>
          <w:p w14:paraId="1BF33E0B" w14:textId="111CC712" w:rsidR="00F93FF9" w:rsidRPr="008675CA" w:rsidRDefault="00265343" w:rsidP="00B34ADF">
            <w:pPr>
              <w:spacing w:after="0" w:line="240" w:lineRule="auto"/>
              <w:jc w:val="center"/>
              <w:rPr>
                <w:rFonts w:asciiTheme="majorHAnsi" w:eastAsia="Times New Roman" w:hAnsiTheme="majorHAnsi" w:cs="Calibri"/>
                <w:b/>
              </w:rPr>
            </w:pPr>
            <w:r>
              <w:rPr>
                <w:rFonts w:asciiTheme="majorHAnsi" w:eastAsia="Times New Roman" w:hAnsiTheme="majorHAnsi" w:cs="Calibri"/>
                <w:b/>
              </w:rPr>
              <w:t>4.92</w:t>
            </w:r>
          </w:p>
        </w:tc>
      </w:tr>
    </w:tbl>
    <w:p w14:paraId="58FC7A40" w14:textId="77777777" w:rsidR="000222A4" w:rsidRPr="006517AE" w:rsidRDefault="000222A4" w:rsidP="00F12881">
      <w:pPr>
        <w:pStyle w:val="Style3"/>
      </w:pPr>
    </w:p>
    <w:p w14:paraId="68EAC2F0" w14:textId="477E39F1" w:rsidR="000222A4" w:rsidRPr="008675CA" w:rsidRDefault="000222A4" w:rsidP="00F12881">
      <w:pPr>
        <w:pStyle w:val="Style3"/>
      </w:pPr>
      <w:r w:rsidRPr="008675CA">
        <w:t>MePGCL request the Ho</w:t>
      </w:r>
      <w:r w:rsidR="00092846">
        <w:t xml:space="preserve">n’ble Commission to consider a </w:t>
      </w:r>
      <w:r w:rsidR="00D93FFB">
        <w:t xml:space="preserve">revenue </w:t>
      </w:r>
      <w:r w:rsidR="00265343">
        <w:t>Gap</w:t>
      </w:r>
      <w:r w:rsidRPr="008675CA">
        <w:t xml:space="preserve"> for review of True up order for FY 2020-21 at Rs.</w:t>
      </w:r>
      <w:r w:rsidR="00265343">
        <w:t>4.92</w:t>
      </w:r>
      <w:r w:rsidRPr="008675CA">
        <w:t xml:space="preserve"> Cr. to be adjusted in </w:t>
      </w:r>
      <w:r w:rsidR="00D93FFB">
        <w:t>the review petition for FY 2023-24</w:t>
      </w:r>
      <w:r w:rsidRPr="008675CA">
        <w:t>.</w:t>
      </w:r>
    </w:p>
    <w:p w14:paraId="11455B4A" w14:textId="77777777" w:rsidR="00DA77FC" w:rsidRPr="008675CA" w:rsidRDefault="00372DCD" w:rsidP="00DA77FC">
      <w:pPr>
        <w:pStyle w:val="head1"/>
        <w:spacing w:after="0"/>
        <w:rPr>
          <w:rFonts w:asciiTheme="majorHAnsi" w:hAnsiTheme="majorHAnsi"/>
        </w:rPr>
      </w:pPr>
      <w:r w:rsidRPr="008675CA">
        <w:rPr>
          <w:rFonts w:asciiTheme="majorHAnsi" w:eastAsiaTheme="minorHAnsi" w:hAnsiTheme="majorHAnsi" w:cstheme="minorBidi"/>
          <w:b w:val="0"/>
          <w:bCs w:val="0"/>
        </w:rPr>
        <w:t>2</w:t>
      </w:r>
      <w:r w:rsidR="00081CE5" w:rsidRPr="008675CA">
        <w:rPr>
          <w:rFonts w:asciiTheme="majorHAnsi" w:eastAsiaTheme="minorHAnsi" w:hAnsiTheme="majorHAnsi" w:cstheme="minorBidi"/>
          <w:b w:val="0"/>
          <w:bCs w:val="0"/>
        </w:rPr>
        <w:t>.5.</w:t>
      </w:r>
      <w:r w:rsidR="00787757" w:rsidRPr="008675CA">
        <w:rPr>
          <w:rFonts w:asciiTheme="majorHAnsi" w:eastAsiaTheme="minorHAnsi" w:hAnsiTheme="majorHAnsi" w:cstheme="minorBidi"/>
          <w:b w:val="0"/>
          <w:bCs w:val="0"/>
        </w:rPr>
        <w:t>8</w:t>
      </w:r>
      <w:r w:rsidR="00DA77FC" w:rsidRPr="008675CA">
        <w:rPr>
          <w:rFonts w:asciiTheme="majorHAnsi" w:eastAsiaTheme="minorHAnsi" w:hAnsiTheme="majorHAnsi" w:cstheme="minorBidi"/>
          <w:b w:val="0"/>
          <w:bCs w:val="0"/>
        </w:rPr>
        <w:t xml:space="preserve">. </w:t>
      </w:r>
      <w:r w:rsidR="00DA77FC" w:rsidRPr="008675CA">
        <w:rPr>
          <w:rFonts w:asciiTheme="majorHAnsi" w:eastAsiaTheme="minorHAnsi" w:hAnsiTheme="majorHAnsi" w:cstheme="minorBidi"/>
          <w:b w:val="0"/>
          <w:bCs w:val="0"/>
        </w:rPr>
        <w:tab/>
      </w:r>
      <w:r w:rsidR="00DA77FC" w:rsidRPr="008675CA">
        <w:rPr>
          <w:rFonts w:asciiTheme="majorHAnsi" w:hAnsiTheme="majorHAnsi"/>
        </w:rPr>
        <w:t xml:space="preserve">Revised ARR &amp; Net Additional Claim in Review for True Up FY </w:t>
      </w:r>
      <w:bookmarkEnd w:id="59"/>
      <w:r w:rsidR="00965025" w:rsidRPr="008675CA">
        <w:rPr>
          <w:rFonts w:asciiTheme="majorHAnsi" w:hAnsiTheme="majorHAnsi"/>
        </w:rPr>
        <w:t>2020-21</w:t>
      </w:r>
    </w:p>
    <w:p w14:paraId="2CCBE127" w14:textId="77777777" w:rsidR="00DA77FC" w:rsidRPr="008675CA" w:rsidRDefault="00DA77FC" w:rsidP="00DA77FC">
      <w:pPr>
        <w:spacing w:after="0"/>
        <w:jc w:val="both"/>
        <w:rPr>
          <w:rFonts w:asciiTheme="majorHAnsi" w:hAnsiTheme="majorHAnsi"/>
        </w:rPr>
      </w:pPr>
      <w:r w:rsidRPr="008675CA">
        <w:rPr>
          <w:rFonts w:asciiTheme="majorHAnsi" w:hAnsiTheme="majorHAnsi"/>
        </w:rPr>
        <w:t>Based on the above submissions in response to the order, revised ARR for MLHEP, NUHEP, Lakroh and Old plants including Sonapani are given below:</w:t>
      </w:r>
    </w:p>
    <w:p w14:paraId="248962A5" w14:textId="77777777" w:rsidR="00DA77FC" w:rsidRPr="008675CA" w:rsidRDefault="00DA77FC" w:rsidP="00DA77FC">
      <w:pPr>
        <w:spacing w:after="0"/>
        <w:ind w:left="360"/>
        <w:jc w:val="both"/>
        <w:rPr>
          <w:rFonts w:asciiTheme="majorHAnsi" w:hAnsiTheme="majorHAnsi"/>
        </w:rPr>
      </w:pPr>
    </w:p>
    <w:p w14:paraId="459A26BD" w14:textId="7CA0791F" w:rsidR="00DA77FC" w:rsidRPr="008675CA" w:rsidRDefault="00DA77FC" w:rsidP="00DA77FC">
      <w:pPr>
        <w:pStyle w:val="Caption"/>
        <w:keepNext/>
        <w:spacing w:after="0"/>
        <w:ind w:left="360"/>
        <w:rPr>
          <w:rFonts w:asciiTheme="majorHAnsi" w:hAnsiTheme="majorHAnsi"/>
          <w:b/>
          <w:i w:val="0"/>
          <w:color w:val="auto"/>
          <w:sz w:val="22"/>
          <w:szCs w:val="22"/>
        </w:rPr>
      </w:pPr>
      <w:r w:rsidRPr="008675CA">
        <w:rPr>
          <w:rFonts w:asciiTheme="majorHAnsi" w:hAnsiTheme="majorHAnsi"/>
          <w:b/>
          <w:i w:val="0"/>
          <w:color w:val="auto"/>
          <w:sz w:val="22"/>
          <w:szCs w:val="22"/>
        </w:rPr>
        <w:t xml:space="preserve">Table </w:t>
      </w:r>
      <w:r w:rsidR="00104302" w:rsidRPr="008675CA">
        <w:rPr>
          <w:rFonts w:asciiTheme="majorHAnsi" w:hAnsiTheme="majorHAnsi"/>
          <w:b/>
          <w:i w:val="0"/>
          <w:color w:val="auto"/>
          <w:sz w:val="22"/>
          <w:szCs w:val="22"/>
        </w:rPr>
        <w:t>2</w:t>
      </w:r>
      <w:r w:rsidR="00EF2EA1">
        <w:rPr>
          <w:rFonts w:asciiTheme="majorHAnsi" w:hAnsiTheme="majorHAnsi"/>
          <w:b/>
          <w:i w:val="0"/>
          <w:color w:val="auto"/>
          <w:sz w:val="22"/>
          <w:szCs w:val="22"/>
        </w:rPr>
        <w:t>6</w:t>
      </w:r>
      <w:r w:rsidRPr="008675CA">
        <w:rPr>
          <w:rFonts w:asciiTheme="majorHAnsi" w:hAnsiTheme="majorHAnsi"/>
          <w:b/>
          <w:i w:val="0"/>
          <w:color w:val="auto"/>
          <w:sz w:val="22"/>
          <w:szCs w:val="22"/>
        </w:rPr>
        <w:t xml:space="preserve">: Revised AFC for MePGCL in Review for FY </w:t>
      </w:r>
      <w:r w:rsidR="00965025" w:rsidRPr="008675CA">
        <w:rPr>
          <w:rFonts w:asciiTheme="majorHAnsi" w:hAnsiTheme="majorHAnsi"/>
          <w:b/>
          <w:i w:val="0"/>
          <w:color w:val="auto"/>
          <w:sz w:val="22"/>
          <w:szCs w:val="22"/>
        </w:rPr>
        <w:t>2020-21</w:t>
      </w:r>
      <w:r w:rsidR="00D72519">
        <w:rPr>
          <w:rFonts w:asciiTheme="majorHAnsi" w:hAnsiTheme="majorHAnsi"/>
          <w:b/>
          <w:i w:val="0"/>
          <w:color w:val="auto"/>
          <w:sz w:val="22"/>
          <w:szCs w:val="22"/>
        </w:rPr>
        <w:t xml:space="preserve">                        </w:t>
      </w:r>
      <w:r w:rsidR="00D72519" w:rsidRPr="008675CA">
        <w:rPr>
          <w:rFonts w:asciiTheme="majorHAnsi" w:hAnsiTheme="majorHAnsi"/>
          <w:b/>
          <w:i w:val="0"/>
          <w:color w:val="auto"/>
          <w:sz w:val="22"/>
          <w:szCs w:val="22"/>
        </w:rPr>
        <w:t>(INR Cr.)</w:t>
      </w:r>
    </w:p>
    <w:tbl>
      <w:tblPr>
        <w:tblW w:w="11026" w:type="dxa"/>
        <w:tblInd w:w="-601" w:type="dxa"/>
        <w:tblLayout w:type="fixed"/>
        <w:tblLook w:val="04A0" w:firstRow="1" w:lastRow="0" w:firstColumn="1" w:lastColumn="0" w:noHBand="0" w:noVBand="1"/>
      </w:tblPr>
      <w:tblGrid>
        <w:gridCol w:w="1276"/>
        <w:gridCol w:w="896"/>
        <w:gridCol w:w="842"/>
        <w:gridCol w:w="891"/>
        <w:gridCol w:w="883"/>
        <w:gridCol w:w="887"/>
        <w:gridCol w:w="740"/>
        <w:gridCol w:w="739"/>
        <w:gridCol w:w="740"/>
        <w:gridCol w:w="612"/>
        <w:gridCol w:w="850"/>
        <w:gridCol w:w="851"/>
        <w:gridCol w:w="819"/>
      </w:tblGrid>
      <w:tr w:rsidR="00BA7A2B" w:rsidRPr="006517AE" w14:paraId="345D7242" w14:textId="77777777" w:rsidTr="00664CBF">
        <w:trPr>
          <w:trHeight w:val="345"/>
        </w:trPr>
        <w:tc>
          <w:tcPr>
            <w:tcW w:w="1276" w:type="dxa"/>
            <w:vMerge w:val="restart"/>
            <w:tcBorders>
              <w:top w:val="single" w:sz="8" w:space="0" w:color="auto"/>
              <w:left w:val="nil"/>
              <w:bottom w:val="single" w:sz="4" w:space="0" w:color="000000"/>
              <w:right w:val="nil"/>
            </w:tcBorders>
            <w:shd w:val="clear" w:color="000000" w:fill="BFBFBF"/>
            <w:noWrap/>
            <w:hideMark/>
          </w:tcPr>
          <w:p w14:paraId="45CCEF7C"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Particulars</w:t>
            </w:r>
          </w:p>
        </w:tc>
        <w:tc>
          <w:tcPr>
            <w:tcW w:w="2629" w:type="dxa"/>
            <w:gridSpan w:val="3"/>
            <w:tcBorders>
              <w:top w:val="single" w:sz="8" w:space="0" w:color="auto"/>
              <w:left w:val="single" w:sz="8" w:space="0" w:color="auto"/>
              <w:bottom w:val="nil"/>
              <w:right w:val="single" w:sz="8" w:space="0" w:color="000000"/>
            </w:tcBorders>
            <w:shd w:val="clear" w:color="000000" w:fill="BFBFBF"/>
            <w:noWrap/>
            <w:hideMark/>
          </w:tcPr>
          <w:p w14:paraId="620C452E"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MLHEP</w:t>
            </w:r>
          </w:p>
        </w:tc>
        <w:tc>
          <w:tcPr>
            <w:tcW w:w="2510" w:type="dxa"/>
            <w:gridSpan w:val="3"/>
            <w:tcBorders>
              <w:top w:val="single" w:sz="8" w:space="0" w:color="auto"/>
              <w:left w:val="nil"/>
              <w:bottom w:val="nil"/>
              <w:right w:val="single" w:sz="8" w:space="0" w:color="000000"/>
            </w:tcBorders>
            <w:shd w:val="clear" w:color="000000" w:fill="BFBFBF"/>
            <w:hideMark/>
          </w:tcPr>
          <w:p w14:paraId="0BC6ED73"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NUHEP</w:t>
            </w:r>
          </w:p>
        </w:tc>
        <w:tc>
          <w:tcPr>
            <w:tcW w:w="2091" w:type="dxa"/>
            <w:gridSpan w:val="3"/>
            <w:tcBorders>
              <w:top w:val="single" w:sz="8" w:space="0" w:color="auto"/>
              <w:left w:val="nil"/>
              <w:bottom w:val="nil"/>
              <w:right w:val="single" w:sz="8" w:space="0" w:color="000000"/>
            </w:tcBorders>
            <w:shd w:val="clear" w:color="000000" w:fill="BFBFBF"/>
            <w:hideMark/>
          </w:tcPr>
          <w:p w14:paraId="6990124B"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Lakroh</w:t>
            </w:r>
          </w:p>
        </w:tc>
        <w:tc>
          <w:tcPr>
            <w:tcW w:w="2520" w:type="dxa"/>
            <w:gridSpan w:val="3"/>
            <w:tcBorders>
              <w:top w:val="single" w:sz="8" w:space="0" w:color="auto"/>
              <w:left w:val="nil"/>
              <w:bottom w:val="nil"/>
              <w:right w:val="single" w:sz="8" w:space="0" w:color="000000"/>
            </w:tcBorders>
            <w:shd w:val="clear" w:color="000000" w:fill="BFBFBF"/>
            <w:noWrap/>
            <w:hideMark/>
          </w:tcPr>
          <w:p w14:paraId="571AA5F4"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Old Plants</w:t>
            </w:r>
          </w:p>
        </w:tc>
      </w:tr>
      <w:tr w:rsidR="00D93FFB" w:rsidRPr="006517AE" w14:paraId="66D50F46" w14:textId="77777777" w:rsidTr="00664CBF">
        <w:trPr>
          <w:trHeight w:val="486"/>
        </w:trPr>
        <w:tc>
          <w:tcPr>
            <w:tcW w:w="1276" w:type="dxa"/>
            <w:vMerge/>
            <w:tcBorders>
              <w:top w:val="single" w:sz="8" w:space="0" w:color="auto"/>
              <w:left w:val="nil"/>
              <w:bottom w:val="single" w:sz="4" w:space="0" w:color="000000"/>
              <w:right w:val="nil"/>
            </w:tcBorders>
            <w:hideMark/>
          </w:tcPr>
          <w:p w14:paraId="7FF52809"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p>
        </w:tc>
        <w:tc>
          <w:tcPr>
            <w:tcW w:w="896" w:type="dxa"/>
            <w:tcBorders>
              <w:top w:val="single" w:sz="4" w:space="0" w:color="auto"/>
              <w:left w:val="single" w:sz="4" w:space="0" w:color="auto"/>
              <w:bottom w:val="single" w:sz="4" w:space="0" w:color="auto"/>
              <w:right w:val="single" w:sz="4" w:space="0" w:color="auto"/>
            </w:tcBorders>
            <w:shd w:val="clear" w:color="000000" w:fill="BFBFBF"/>
            <w:hideMark/>
          </w:tcPr>
          <w:p w14:paraId="7B0DEE35"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as per review</w:t>
            </w:r>
          </w:p>
        </w:tc>
        <w:tc>
          <w:tcPr>
            <w:tcW w:w="842" w:type="dxa"/>
            <w:tcBorders>
              <w:top w:val="single" w:sz="4" w:space="0" w:color="auto"/>
              <w:left w:val="nil"/>
              <w:bottom w:val="single" w:sz="4" w:space="0" w:color="auto"/>
              <w:right w:val="single" w:sz="4" w:space="0" w:color="auto"/>
            </w:tcBorders>
            <w:shd w:val="clear" w:color="000000" w:fill="BFBFBF"/>
            <w:hideMark/>
          </w:tcPr>
          <w:p w14:paraId="60785AB7"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as per order</w:t>
            </w:r>
          </w:p>
        </w:tc>
        <w:tc>
          <w:tcPr>
            <w:tcW w:w="891" w:type="dxa"/>
            <w:tcBorders>
              <w:top w:val="single" w:sz="4" w:space="0" w:color="auto"/>
              <w:left w:val="nil"/>
              <w:bottom w:val="single" w:sz="4" w:space="0" w:color="auto"/>
              <w:right w:val="single" w:sz="4" w:space="0" w:color="auto"/>
            </w:tcBorders>
            <w:shd w:val="clear" w:color="000000" w:fill="FFFF00"/>
            <w:noWrap/>
            <w:hideMark/>
          </w:tcPr>
          <w:p w14:paraId="043D1B3D"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gap</w:t>
            </w:r>
          </w:p>
        </w:tc>
        <w:tc>
          <w:tcPr>
            <w:tcW w:w="883" w:type="dxa"/>
            <w:tcBorders>
              <w:top w:val="single" w:sz="4" w:space="0" w:color="auto"/>
              <w:left w:val="nil"/>
              <w:bottom w:val="single" w:sz="4" w:space="0" w:color="auto"/>
              <w:right w:val="single" w:sz="4" w:space="0" w:color="auto"/>
            </w:tcBorders>
            <w:shd w:val="clear" w:color="000000" w:fill="BFBFBF"/>
            <w:hideMark/>
          </w:tcPr>
          <w:p w14:paraId="374AB732"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as per review</w:t>
            </w:r>
          </w:p>
        </w:tc>
        <w:tc>
          <w:tcPr>
            <w:tcW w:w="887" w:type="dxa"/>
            <w:tcBorders>
              <w:top w:val="single" w:sz="4" w:space="0" w:color="auto"/>
              <w:left w:val="nil"/>
              <w:bottom w:val="single" w:sz="4" w:space="0" w:color="auto"/>
              <w:right w:val="single" w:sz="4" w:space="0" w:color="auto"/>
            </w:tcBorders>
            <w:shd w:val="clear" w:color="000000" w:fill="BFBFBF"/>
            <w:hideMark/>
          </w:tcPr>
          <w:p w14:paraId="4862D04E"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as per order</w:t>
            </w:r>
          </w:p>
        </w:tc>
        <w:tc>
          <w:tcPr>
            <w:tcW w:w="740" w:type="dxa"/>
            <w:tcBorders>
              <w:top w:val="single" w:sz="4" w:space="0" w:color="auto"/>
              <w:left w:val="nil"/>
              <w:bottom w:val="single" w:sz="4" w:space="0" w:color="auto"/>
              <w:right w:val="single" w:sz="4" w:space="0" w:color="auto"/>
            </w:tcBorders>
            <w:shd w:val="clear" w:color="000000" w:fill="FFFF00"/>
            <w:noWrap/>
            <w:hideMark/>
          </w:tcPr>
          <w:p w14:paraId="11DE23B2"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gap</w:t>
            </w:r>
          </w:p>
        </w:tc>
        <w:tc>
          <w:tcPr>
            <w:tcW w:w="739" w:type="dxa"/>
            <w:tcBorders>
              <w:top w:val="single" w:sz="4" w:space="0" w:color="auto"/>
              <w:left w:val="nil"/>
              <w:bottom w:val="single" w:sz="4" w:space="0" w:color="auto"/>
              <w:right w:val="single" w:sz="4" w:space="0" w:color="auto"/>
            </w:tcBorders>
            <w:shd w:val="clear" w:color="000000" w:fill="BFBFBF"/>
            <w:hideMark/>
          </w:tcPr>
          <w:p w14:paraId="120C1199"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as per review</w:t>
            </w:r>
          </w:p>
        </w:tc>
        <w:tc>
          <w:tcPr>
            <w:tcW w:w="740" w:type="dxa"/>
            <w:tcBorders>
              <w:top w:val="single" w:sz="4" w:space="0" w:color="auto"/>
              <w:left w:val="nil"/>
              <w:bottom w:val="single" w:sz="4" w:space="0" w:color="auto"/>
              <w:right w:val="single" w:sz="4" w:space="0" w:color="auto"/>
            </w:tcBorders>
            <w:shd w:val="clear" w:color="000000" w:fill="BFBFBF"/>
            <w:hideMark/>
          </w:tcPr>
          <w:p w14:paraId="740BDB51"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as per order</w:t>
            </w:r>
          </w:p>
        </w:tc>
        <w:tc>
          <w:tcPr>
            <w:tcW w:w="612" w:type="dxa"/>
            <w:tcBorders>
              <w:top w:val="single" w:sz="4" w:space="0" w:color="auto"/>
              <w:left w:val="nil"/>
              <w:bottom w:val="single" w:sz="4" w:space="0" w:color="auto"/>
              <w:right w:val="single" w:sz="4" w:space="0" w:color="auto"/>
            </w:tcBorders>
            <w:shd w:val="clear" w:color="000000" w:fill="FFFF00"/>
            <w:noWrap/>
            <w:hideMark/>
          </w:tcPr>
          <w:p w14:paraId="05E9B03C"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gap</w:t>
            </w:r>
          </w:p>
        </w:tc>
        <w:tc>
          <w:tcPr>
            <w:tcW w:w="850" w:type="dxa"/>
            <w:tcBorders>
              <w:top w:val="single" w:sz="4" w:space="0" w:color="auto"/>
              <w:left w:val="nil"/>
              <w:bottom w:val="single" w:sz="4" w:space="0" w:color="auto"/>
              <w:right w:val="single" w:sz="4" w:space="0" w:color="auto"/>
            </w:tcBorders>
            <w:shd w:val="clear" w:color="000000" w:fill="BFBFBF"/>
            <w:hideMark/>
          </w:tcPr>
          <w:p w14:paraId="711AA05F"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as per review</w:t>
            </w:r>
          </w:p>
        </w:tc>
        <w:tc>
          <w:tcPr>
            <w:tcW w:w="851" w:type="dxa"/>
            <w:tcBorders>
              <w:top w:val="single" w:sz="4" w:space="0" w:color="auto"/>
              <w:left w:val="nil"/>
              <w:bottom w:val="single" w:sz="4" w:space="0" w:color="auto"/>
              <w:right w:val="single" w:sz="4" w:space="0" w:color="auto"/>
            </w:tcBorders>
            <w:shd w:val="clear" w:color="000000" w:fill="BFBFBF"/>
            <w:hideMark/>
          </w:tcPr>
          <w:p w14:paraId="25874DA8"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as per order</w:t>
            </w:r>
          </w:p>
        </w:tc>
        <w:tc>
          <w:tcPr>
            <w:tcW w:w="819" w:type="dxa"/>
            <w:tcBorders>
              <w:top w:val="single" w:sz="4" w:space="0" w:color="auto"/>
              <w:left w:val="nil"/>
              <w:bottom w:val="single" w:sz="4" w:space="0" w:color="auto"/>
              <w:right w:val="single" w:sz="4" w:space="0" w:color="auto"/>
            </w:tcBorders>
            <w:shd w:val="clear" w:color="000000" w:fill="FFFF00"/>
            <w:noWrap/>
            <w:hideMark/>
          </w:tcPr>
          <w:p w14:paraId="52BAE44C"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gap</w:t>
            </w:r>
          </w:p>
        </w:tc>
      </w:tr>
      <w:tr w:rsidR="00D93FFB" w:rsidRPr="006517AE" w14:paraId="2A7665A6" w14:textId="77777777" w:rsidTr="00664CBF">
        <w:trPr>
          <w:trHeight w:val="169"/>
        </w:trPr>
        <w:tc>
          <w:tcPr>
            <w:tcW w:w="1276" w:type="dxa"/>
            <w:tcBorders>
              <w:top w:val="nil"/>
              <w:left w:val="single" w:sz="8" w:space="0" w:color="auto"/>
              <w:bottom w:val="single" w:sz="8" w:space="0" w:color="auto"/>
              <w:right w:val="single" w:sz="8" w:space="0" w:color="auto"/>
            </w:tcBorders>
            <w:shd w:val="clear" w:color="auto" w:fill="auto"/>
            <w:hideMark/>
          </w:tcPr>
          <w:p w14:paraId="16B7DE34"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O&amp;M Expenses</w:t>
            </w:r>
          </w:p>
        </w:tc>
        <w:tc>
          <w:tcPr>
            <w:tcW w:w="896" w:type="dxa"/>
            <w:tcBorders>
              <w:top w:val="nil"/>
              <w:left w:val="nil"/>
              <w:bottom w:val="single" w:sz="8" w:space="0" w:color="auto"/>
              <w:right w:val="single" w:sz="8" w:space="0" w:color="auto"/>
            </w:tcBorders>
            <w:shd w:val="clear" w:color="auto" w:fill="auto"/>
            <w:noWrap/>
            <w:hideMark/>
          </w:tcPr>
          <w:p w14:paraId="26D42857"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38.89</w:t>
            </w:r>
          </w:p>
        </w:tc>
        <w:tc>
          <w:tcPr>
            <w:tcW w:w="842" w:type="dxa"/>
            <w:tcBorders>
              <w:top w:val="nil"/>
              <w:left w:val="nil"/>
              <w:bottom w:val="single" w:sz="8" w:space="0" w:color="auto"/>
              <w:right w:val="single" w:sz="8" w:space="0" w:color="auto"/>
            </w:tcBorders>
            <w:shd w:val="clear" w:color="auto" w:fill="auto"/>
            <w:hideMark/>
          </w:tcPr>
          <w:p w14:paraId="341C54F8"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38.89</w:t>
            </w:r>
          </w:p>
        </w:tc>
        <w:tc>
          <w:tcPr>
            <w:tcW w:w="891" w:type="dxa"/>
            <w:tcBorders>
              <w:top w:val="nil"/>
              <w:left w:val="nil"/>
              <w:bottom w:val="single" w:sz="8" w:space="0" w:color="auto"/>
              <w:right w:val="single" w:sz="8" w:space="0" w:color="auto"/>
            </w:tcBorders>
            <w:shd w:val="clear" w:color="000000" w:fill="FFFF00"/>
            <w:hideMark/>
          </w:tcPr>
          <w:p w14:paraId="3DF46CE2"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w:t>
            </w:r>
          </w:p>
        </w:tc>
        <w:tc>
          <w:tcPr>
            <w:tcW w:w="883" w:type="dxa"/>
            <w:tcBorders>
              <w:top w:val="nil"/>
              <w:left w:val="nil"/>
              <w:bottom w:val="single" w:sz="8" w:space="0" w:color="auto"/>
              <w:right w:val="single" w:sz="8" w:space="0" w:color="auto"/>
            </w:tcBorders>
            <w:shd w:val="clear" w:color="auto" w:fill="auto"/>
            <w:hideMark/>
          </w:tcPr>
          <w:p w14:paraId="6501FC2E"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13.72</w:t>
            </w:r>
          </w:p>
        </w:tc>
        <w:tc>
          <w:tcPr>
            <w:tcW w:w="887" w:type="dxa"/>
            <w:tcBorders>
              <w:top w:val="nil"/>
              <w:left w:val="nil"/>
              <w:bottom w:val="single" w:sz="8" w:space="0" w:color="auto"/>
              <w:right w:val="single" w:sz="8" w:space="0" w:color="auto"/>
            </w:tcBorders>
            <w:shd w:val="clear" w:color="auto" w:fill="auto"/>
            <w:hideMark/>
          </w:tcPr>
          <w:p w14:paraId="18346800"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13.72</w:t>
            </w:r>
          </w:p>
        </w:tc>
        <w:tc>
          <w:tcPr>
            <w:tcW w:w="740" w:type="dxa"/>
            <w:tcBorders>
              <w:top w:val="nil"/>
              <w:left w:val="nil"/>
              <w:bottom w:val="single" w:sz="8" w:space="0" w:color="auto"/>
              <w:right w:val="single" w:sz="8" w:space="0" w:color="auto"/>
            </w:tcBorders>
            <w:shd w:val="clear" w:color="000000" w:fill="FFFF00"/>
            <w:hideMark/>
          </w:tcPr>
          <w:p w14:paraId="2D868212"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739" w:type="dxa"/>
            <w:tcBorders>
              <w:top w:val="nil"/>
              <w:left w:val="nil"/>
              <w:bottom w:val="single" w:sz="8" w:space="0" w:color="auto"/>
              <w:right w:val="single" w:sz="8" w:space="0" w:color="auto"/>
            </w:tcBorders>
            <w:shd w:val="clear" w:color="auto" w:fill="auto"/>
            <w:hideMark/>
          </w:tcPr>
          <w:p w14:paraId="1C38BD9D"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0.54</w:t>
            </w:r>
          </w:p>
        </w:tc>
        <w:tc>
          <w:tcPr>
            <w:tcW w:w="740" w:type="dxa"/>
            <w:tcBorders>
              <w:top w:val="nil"/>
              <w:left w:val="nil"/>
              <w:bottom w:val="single" w:sz="8" w:space="0" w:color="auto"/>
              <w:right w:val="single" w:sz="8" w:space="0" w:color="auto"/>
            </w:tcBorders>
            <w:shd w:val="clear" w:color="auto" w:fill="auto"/>
            <w:hideMark/>
          </w:tcPr>
          <w:p w14:paraId="47CEF80B"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0.54</w:t>
            </w:r>
          </w:p>
        </w:tc>
        <w:tc>
          <w:tcPr>
            <w:tcW w:w="612" w:type="dxa"/>
            <w:tcBorders>
              <w:top w:val="nil"/>
              <w:left w:val="nil"/>
              <w:bottom w:val="single" w:sz="8" w:space="0" w:color="auto"/>
              <w:right w:val="single" w:sz="8" w:space="0" w:color="auto"/>
            </w:tcBorders>
            <w:shd w:val="clear" w:color="000000" w:fill="FFFF00"/>
            <w:hideMark/>
          </w:tcPr>
          <w:p w14:paraId="6A0E86D3"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50" w:type="dxa"/>
            <w:tcBorders>
              <w:top w:val="nil"/>
              <w:left w:val="nil"/>
              <w:bottom w:val="single" w:sz="8" w:space="0" w:color="auto"/>
              <w:right w:val="single" w:sz="8" w:space="0" w:color="auto"/>
            </w:tcBorders>
            <w:shd w:val="clear" w:color="auto" w:fill="auto"/>
            <w:hideMark/>
          </w:tcPr>
          <w:p w14:paraId="4A573BC5" w14:textId="6D00347A" w:rsidR="00BA7A2B" w:rsidRPr="006517AE" w:rsidRDefault="00B34ADF"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102.12</w:t>
            </w:r>
          </w:p>
        </w:tc>
        <w:tc>
          <w:tcPr>
            <w:tcW w:w="851" w:type="dxa"/>
            <w:tcBorders>
              <w:top w:val="nil"/>
              <w:left w:val="nil"/>
              <w:bottom w:val="single" w:sz="8" w:space="0" w:color="auto"/>
              <w:right w:val="single" w:sz="8" w:space="0" w:color="auto"/>
            </w:tcBorders>
            <w:shd w:val="clear" w:color="auto" w:fill="auto"/>
            <w:hideMark/>
          </w:tcPr>
          <w:p w14:paraId="0F9CDCB8"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44.86</w:t>
            </w:r>
          </w:p>
        </w:tc>
        <w:tc>
          <w:tcPr>
            <w:tcW w:w="819" w:type="dxa"/>
            <w:tcBorders>
              <w:top w:val="nil"/>
              <w:left w:val="nil"/>
              <w:bottom w:val="single" w:sz="8" w:space="0" w:color="auto"/>
              <w:right w:val="single" w:sz="8" w:space="0" w:color="auto"/>
            </w:tcBorders>
            <w:shd w:val="clear" w:color="000000" w:fill="FFFF00"/>
            <w:hideMark/>
          </w:tcPr>
          <w:p w14:paraId="0FCC44C1" w14:textId="77777777" w:rsidR="00BA7A2B" w:rsidRPr="006517AE" w:rsidRDefault="00092846"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0.42</w:t>
            </w:r>
          </w:p>
        </w:tc>
      </w:tr>
      <w:tr w:rsidR="00D93FFB" w:rsidRPr="006517AE" w14:paraId="32C832F2" w14:textId="77777777" w:rsidTr="00664CBF">
        <w:trPr>
          <w:trHeight w:val="238"/>
        </w:trPr>
        <w:tc>
          <w:tcPr>
            <w:tcW w:w="1276" w:type="dxa"/>
            <w:tcBorders>
              <w:top w:val="nil"/>
              <w:left w:val="single" w:sz="8" w:space="0" w:color="auto"/>
              <w:bottom w:val="single" w:sz="8" w:space="0" w:color="auto"/>
              <w:right w:val="single" w:sz="8" w:space="0" w:color="auto"/>
            </w:tcBorders>
            <w:shd w:val="clear" w:color="auto" w:fill="auto"/>
            <w:hideMark/>
          </w:tcPr>
          <w:p w14:paraId="1B265A5D"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Depreciation</w:t>
            </w:r>
          </w:p>
        </w:tc>
        <w:tc>
          <w:tcPr>
            <w:tcW w:w="896" w:type="dxa"/>
            <w:tcBorders>
              <w:top w:val="nil"/>
              <w:left w:val="nil"/>
              <w:bottom w:val="single" w:sz="8" w:space="0" w:color="auto"/>
              <w:right w:val="single" w:sz="8" w:space="0" w:color="auto"/>
            </w:tcBorders>
            <w:shd w:val="clear" w:color="auto" w:fill="auto"/>
            <w:noWrap/>
            <w:hideMark/>
          </w:tcPr>
          <w:p w14:paraId="29655915"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61.41</w:t>
            </w:r>
          </w:p>
        </w:tc>
        <w:tc>
          <w:tcPr>
            <w:tcW w:w="842" w:type="dxa"/>
            <w:tcBorders>
              <w:top w:val="nil"/>
              <w:left w:val="nil"/>
              <w:bottom w:val="single" w:sz="8" w:space="0" w:color="auto"/>
              <w:right w:val="single" w:sz="8" w:space="0" w:color="auto"/>
            </w:tcBorders>
            <w:shd w:val="clear" w:color="auto" w:fill="auto"/>
            <w:hideMark/>
          </w:tcPr>
          <w:p w14:paraId="3017566B"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46.25</w:t>
            </w:r>
          </w:p>
        </w:tc>
        <w:tc>
          <w:tcPr>
            <w:tcW w:w="891" w:type="dxa"/>
            <w:tcBorders>
              <w:top w:val="nil"/>
              <w:left w:val="nil"/>
              <w:bottom w:val="single" w:sz="8" w:space="0" w:color="auto"/>
              <w:right w:val="single" w:sz="8" w:space="0" w:color="auto"/>
            </w:tcBorders>
            <w:shd w:val="clear" w:color="000000" w:fill="FFFF00"/>
            <w:hideMark/>
          </w:tcPr>
          <w:p w14:paraId="0A5B0DE8"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15.16</w:t>
            </w:r>
          </w:p>
        </w:tc>
        <w:tc>
          <w:tcPr>
            <w:tcW w:w="883" w:type="dxa"/>
            <w:tcBorders>
              <w:top w:val="nil"/>
              <w:left w:val="nil"/>
              <w:bottom w:val="single" w:sz="8" w:space="0" w:color="auto"/>
              <w:right w:val="single" w:sz="8" w:space="0" w:color="auto"/>
            </w:tcBorders>
            <w:shd w:val="clear" w:color="auto" w:fill="auto"/>
            <w:hideMark/>
          </w:tcPr>
          <w:p w14:paraId="62313840"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29.38</w:t>
            </w:r>
          </w:p>
        </w:tc>
        <w:tc>
          <w:tcPr>
            <w:tcW w:w="887" w:type="dxa"/>
            <w:tcBorders>
              <w:top w:val="nil"/>
              <w:left w:val="nil"/>
              <w:bottom w:val="single" w:sz="8" w:space="0" w:color="auto"/>
              <w:right w:val="single" w:sz="8" w:space="0" w:color="auto"/>
            </w:tcBorders>
            <w:shd w:val="clear" w:color="auto" w:fill="auto"/>
            <w:hideMark/>
          </w:tcPr>
          <w:p w14:paraId="1547C738"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25.66</w:t>
            </w:r>
          </w:p>
        </w:tc>
        <w:tc>
          <w:tcPr>
            <w:tcW w:w="740" w:type="dxa"/>
            <w:tcBorders>
              <w:top w:val="nil"/>
              <w:left w:val="nil"/>
              <w:bottom w:val="single" w:sz="8" w:space="0" w:color="auto"/>
              <w:right w:val="single" w:sz="8" w:space="0" w:color="auto"/>
            </w:tcBorders>
            <w:shd w:val="clear" w:color="000000" w:fill="FFFF00"/>
            <w:hideMark/>
          </w:tcPr>
          <w:p w14:paraId="7DB26C42"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3.72</w:t>
            </w:r>
          </w:p>
        </w:tc>
        <w:tc>
          <w:tcPr>
            <w:tcW w:w="739" w:type="dxa"/>
            <w:tcBorders>
              <w:top w:val="nil"/>
              <w:left w:val="nil"/>
              <w:bottom w:val="single" w:sz="8" w:space="0" w:color="auto"/>
              <w:right w:val="single" w:sz="8" w:space="0" w:color="auto"/>
            </w:tcBorders>
            <w:shd w:val="clear" w:color="auto" w:fill="auto"/>
            <w:hideMark/>
          </w:tcPr>
          <w:p w14:paraId="40F013AB"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0.41</w:t>
            </w:r>
          </w:p>
        </w:tc>
        <w:tc>
          <w:tcPr>
            <w:tcW w:w="740" w:type="dxa"/>
            <w:tcBorders>
              <w:top w:val="nil"/>
              <w:left w:val="nil"/>
              <w:bottom w:val="single" w:sz="8" w:space="0" w:color="auto"/>
              <w:right w:val="single" w:sz="8" w:space="0" w:color="auto"/>
            </w:tcBorders>
            <w:shd w:val="clear" w:color="auto" w:fill="auto"/>
            <w:hideMark/>
          </w:tcPr>
          <w:p w14:paraId="552F4BFB"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0.41</w:t>
            </w:r>
          </w:p>
        </w:tc>
        <w:tc>
          <w:tcPr>
            <w:tcW w:w="612" w:type="dxa"/>
            <w:tcBorders>
              <w:top w:val="nil"/>
              <w:left w:val="nil"/>
              <w:bottom w:val="single" w:sz="8" w:space="0" w:color="auto"/>
              <w:right w:val="single" w:sz="8" w:space="0" w:color="auto"/>
            </w:tcBorders>
            <w:shd w:val="clear" w:color="000000" w:fill="FFFF00"/>
            <w:hideMark/>
          </w:tcPr>
          <w:p w14:paraId="1282B341"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50" w:type="dxa"/>
            <w:tcBorders>
              <w:top w:val="nil"/>
              <w:left w:val="nil"/>
              <w:bottom w:val="single" w:sz="8" w:space="0" w:color="auto"/>
              <w:right w:val="single" w:sz="8" w:space="0" w:color="auto"/>
            </w:tcBorders>
            <w:shd w:val="clear" w:color="auto" w:fill="auto"/>
            <w:hideMark/>
          </w:tcPr>
          <w:p w14:paraId="3B237AA3"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15.14</w:t>
            </w:r>
          </w:p>
        </w:tc>
        <w:tc>
          <w:tcPr>
            <w:tcW w:w="851" w:type="dxa"/>
            <w:tcBorders>
              <w:top w:val="nil"/>
              <w:left w:val="nil"/>
              <w:bottom w:val="single" w:sz="8" w:space="0" w:color="auto"/>
              <w:right w:val="single" w:sz="8" w:space="0" w:color="auto"/>
            </w:tcBorders>
            <w:shd w:val="clear" w:color="auto" w:fill="auto"/>
            <w:hideMark/>
          </w:tcPr>
          <w:p w14:paraId="5B2497A1"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2.27</w:t>
            </w:r>
          </w:p>
        </w:tc>
        <w:tc>
          <w:tcPr>
            <w:tcW w:w="819" w:type="dxa"/>
            <w:tcBorders>
              <w:top w:val="nil"/>
              <w:left w:val="nil"/>
              <w:bottom w:val="single" w:sz="8" w:space="0" w:color="auto"/>
              <w:right w:val="single" w:sz="8" w:space="0" w:color="auto"/>
            </w:tcBorders>
            <w:shd w:val="clear" w:color="000000" w:fill="FFFF00"/>
            <w:hideMark/>
          </w:tcPr>
          <w:p w14:paraId="25D9E238"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12.87</w:t>
            </w:r>
          </w:p>
        </w:tc>
      </w:tr>
      <w:tr w:rsidR="00D93FFB" w:rsidRPr="006517AE" w14:paraId="28390487" w14:textId="77777777" w:rsidTr="00664CBF">
        <w:trPr>
          <w:trHeight w:val="238"/>
        </w:trPr>
        <w:tc>
          <w:tcPr>
            <w:tcW w:w="1276" w:type="dxa"/>
            <w:tcBorders>
              <w:top w:val="nil"/>
              <w:left w:val="single" w:sz="8" w:space="0" w:color="auto"/>
              <w:bottom w:val="single" w:sz="8" w:space="0" w:color="auto"/>
              <w:right w:val="single" w:sz="8" w:space="0" w:color="auto"/>
            </w:tcBorders>
            <w:shd w:val="clear" w:color="auto" w:fill="auto"/>
            <w:hideMark/>
          </w:tcPr>
          <w:p w14:paraId="45573505"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Interest &amp; Finance charges</w:t>
            </w:r>
          </w:p>
        </w:tc>
        <w:tc>
          <w:tcPr>
            <w:tcW w:w="896" w:type="dxa"/>
            <w:tcBorders>
              <w:top w:val="nil"/>
              <w:left w:val="nil"/>
              <w:bottom w:val="single" w:sz="8" w:space="0" w:color="auto"/>
              <w:right w:val="single" w:sz="8" w:space="0" w:color="auto"/>
            </w:tcBorders>
            <w:shd w:val="clear" w:color="auto" w:fill="auto"/>
            <w:noWrap/>
            <w:hideMark/>
          </w:tcPr>
          <w:p w14:paraId="3D99E91E"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42.87</w:t>
            </w:r>
          </w:p>
        </w:tc>
        <w:tc>
          <w:tcPr>
            <w:tcW w:w="842" w:type="dxa"/>
            <w:tcBorders>
              <w:top w:val="nil"/>
              <w:left w:val="nil"/>
              <w:bottom w:val="single" w:sz="8" w:space="0" w:color="auto"/>
              <w:right w:val="single" w:sz="8" w:space="0" w:color="auto"/>
            </w:tcBorders>
            <w:shd w:val="clear" w:color="auto" w:fill="auto"/>
            <w:hideMark/>
          </w:tcPr>
          <w:p w14:paraId="5490F7BE"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30.78</w:t>
            </w:r>
          </w:p>
        </w:tc>
        <w:tc>
          <w:tcPr>
            <w:tcW w:w="891" w:type="dxa"/>
            <w:tcBorders>
              <w:top w:val="nil"/>
              <w:left w:val="nil"/>
              <w:bottom w:val="single" w:sz="8" w:space="0" w:color="auto"/>
              <w:right w:val="single" w:sz="8" w:space="0" w:color="auto"/>
            </w:tcBorders>
            <w:shd w:val="clear" w:color="000000" w:fill="FFFF00"/>
            <w:hideMark/>
          </w:tcPr>
          <w:p w14:paraId="587D17AD"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12.09</w:t>
            </w:r>
          </w:p>
        </w:tc>
        <w:tc>
          <w:tcPr>
            <w:tcW w:w="883" w:type="dxa"/>
            <w:tcBorders>
              <w:top w:val="nil"/>
              <w:left w:val="nil"/>
              <w:bottom w:val="single" w:sz="8" w:space="0" w:color="auto"/>
              <w:right w:val="single" w:sz="8" w:space="0" w:color="auto"/>
            </w:tcBorders>
            <w:shd w:val="clear" w:color="auto" w:fill="auto"/>
            <w:hideMark/>
          </w:tcPr>
          <w:p w14:paraId="52023804"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32.32</w:t>
            </w:r>
          </w:p>
        </w:tc>
        <w:tc>
          <w:tcPr>
            <w:tcW w:w="887" w:type="dxa"/>
            <w:tcBorders>
              <w:top w:val="nil"/>
              <w:left w:val="nil"/>
              <w:bottom w:val="single" w:sz="8" w:space="0" w:color="auto"/>
              <w:right w:val="single" w:sz="8" w:space="0" w:color="auto"/>
            </w:tcBorders>
            <w:shd w:val="clear" w:color="auto" w:fill="auto"/>
            <w:hideMark/>
          </w:tcPr>
          <w:p w14:paraId="3A2BC812"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32.32</w:t>
            </w:r>
          </w:p>
        </w:tc>
        <w:tc>
          <w:tcPr>
            <w:tcW w:w="740" w:type="dxa"/>
            <w:tcBorders>
              <w:top w:val="nil"/>
              <w:left w:val="nil"/>
              <w:bottom w:val="single" w:sz="8" w:space="0" w:color="auto"/>
              <w:right w:val="single" w:sz="8" w:space="0" w:color="auto"/>
            </w:tcBorders>
            <w:shd w:val="clear" w:color="000000" w:fill="FFFF00"/>
            <w:hideMark/>
          </w:tcPr>
          <w:p w14:paraId="3CA7337B"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739" w:type="dxa"/>
            <w:tcBorders>
              <w:top w:val="nil"/>
              <w:left w:val="nil"/>
              <w:bottom w:val="single" w:sz="8" w:space="0" w:color="auto"/>
              <w:right w:val="single" w:sz="8" w:space="0" w:color="auto"/>
            </w:tcBorders>
            <w:shd w:val="clear" w:color="auto" w:fill="auto"/>
            <w:hideMark/>
          </w:tcPr>
          <w:p w14:paraId="756EC076"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0.43</w:t>
            </w:r>
          </w:p>
        </w:tc>
        <w:tc>
          <w:tcPr>
            <w:tcW w:w="740" w:type="dxa"/>
            <w:tcBorders>
              <w:top w:val="nil"/>
              <w:left w:val="nil"/>
              <w:bottom w:val="single" w:sz="8" w:space="0" w:color="auto"/>
              <w:right w:val="single" w:sz="8" w:space="0" w:color="auto"/>
            </w:tcBorders>
            <w:shd w:val="clear" w:color="auto" w:fill="auto"/>
            <w:hideMark/>
          </w:tcPr>
          <w:p w14:paraId="34DA5359"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0.43</w:t>
            </w:r>
          </w:p>
        </w:tc>
        <w:tc>
          <w:tcPr>
            <w:tcW w:w="612" w:type="dxa"/>
            <w:tcBorders>
              <w:top w:val="nil"/>
              <w:left w:val="nil"/>
              <w:bottom w:val="single" w:sz="8" w:space="0" w:color="auto"/>
              <w:right w:val="single" w:sz="8" w:space="0" w:color="auto"/>
            </w:tcBorders>
            <w:shd w:val="clear" w:color="000000" w:fill="FFFF00"/>
            <w:hideMark/>
          </w:tcPr>
          <w:p w14:paraId="36BC4723"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50" w:type="dxa"/>
            <w:tcBorders>
              <w:top w:val="nil"/>
              <w:left w:val="nil"/>
              <w:bottom w:val="single" w:sz="8" w:space="0" w:color="auto"/>
              <w:right w:val="single" w:sz="8" w:space="0" w:color="auto"/>
            </w:tcBorders>
            <w:shd w:val="clear" w:color="auto" w:fill="auto"/>
            <w:hideMark/>
          </w:tcPr>
          <w:p w14:paraId="7001E054"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14.82</w:t>
            </w:r>
          </w:p>
        </w:tc>
        <w:tc>
          <w:tcPr>
            <w:tcW w:w="851" w:type="dxa"/>
            <w:tcBorders>
              <w:top w:val="nil"/>
              <w:left w:val="nil"/>
              <w:bottom w:val="single" w:sz="8" w:space="0" w:color="auto"/>
              <w:right w:val="single" w:sz="8" w:space="0" w:color="auto"/>
            </w:tcBorders>
            <w:shd w:val="clear" w:color="auto" w:fill="auto"/>
            <w:hideMark/>
          </w:tcPr>
          <w:p w14:paraId="1307F5D2"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w:t>
            </w:r>
          </w:p>
        </w:tc>
        <w:tc>
          <w:tcPr>
            <w:tcW w:w="819" w:type="dxa"/>
            <w:tcBorders>
              <w:top w:val="nil"/>
              <w:left w:val="nil"/>
              <w:bottom w:val="single" w:sz="8" w:space="0" w:color="auto"/>
              <w:right w:val="single" w:sz="8" w:space="0" w:color="auto"/>
            </w:tcBorders>
            <w:shd w:val="clear" w:color="000000" w:fill="FFFF00"/>
            <w:hideMark/>
          </w:tcPr>
          <w:p w14:paraId="336E4425"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14.82</w:t>
            </w:r>
          </w:p>
        </w:tc>
      </w:tr>
      <w:tr w:rsidR="00D93FFB" w:rsidRPr="006517AE" w14:paraId="3F89A44B" w14:textId="77777777" w:rsidTr="00664CBF">
        <w:trPr>
          <w:trHeight w:val="333"/>
        </w:trPr>
        <w:tc>
          <w:tcPr>
            <w:tcW w:w="1276" w:type="dxa"/>
            <w:tcBorders>
              <w:top w:val="nil"/>
              <w:left w:val="single" w:sz="8" w:space="0" w:color="auto"/>
              <w:bottom w:val="single" w:sz="8" w:space="0" w:color="auto"/>
              <w:right w:val="single" w:sz="8" w:space="0" w:color="auto"/>
            </w:tcBorders>
            <w:shd w:val="clear" w:color="auto" w:fill="auto"/>
            <w:hideMark/>
          </w:tcPr>
          <w:p w14:paraId="2E6F74A7"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lastRenderedPageBreak/>
              <w:t xml:space="preserve">Return on Equity </w:t>
            </w:r>
          </w:p>
        </w:tc>
        <w:tc>
          <w:tcPr>
            <w:tcW w:w="896" w:type="dxa"/>
            <w:tcBorders>
              <w:top w:val="nil"/>
              <w:left w:val="nil"/>
              <w:bottom w:val="single" w:sz="8" w:space="0" w:color="auto"/>
              <w:right w:val="single" w:sz="8" w:space="0" w:color="auto"/>
            </w:tcBorders>
            <w:shd w:val="clear" w:color="auto" w:fill="auto"/>
            <w:noWrap/>
            <w:hideMark/>
          </w:tcPr>
          <w:p w14:paraId="04DAFAB2"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54</w:t>
            </w:r>
          </w:p>
        </w:tc>
        <w:tc>
          <w:tcPr>
            <w:tcW w:w="842" w:type="dxa"/>
            <w:tcBorders>
              <w:top w:val="nil"/>
              <w:left w:val="nil"/>
              <w:bottom w:val="single" w:sz="8" w:space="0" w:color="auto"/>
              <w:right w:val="single" w:sz="8" w:space="0" w:color="auto"/>
            </w:tcBorders>
            <w:shd w:val="clear" w:color="auto" w:fill="auto"/>
            <w:hideMark/>
          </w:tcPr>
          <w:p w14:paraId="5FD031D7"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45.55</w:t>
            </w:r>
          </w:p>
        </w:tc>
        <w:tc>
          <w:tcPr>
            <w:tcW w:w="891" w:type="dxa"/>
            <w:tcBorders>
              <w:top w:val="nil"/>
              <w:left w:val="nil"/>
              <w:bottom w:val="single" w:sz="8" w:space="0" w:color="auto"/>
              <w:right w:val="single" w:sz="8" w:space="0" w:color="auto"/>
            </w:tcBorders>
            <w:shd w:val="clear" w:color="000000" w:fill="FFFF00"/>
            <w:hideMark/>
          </w:tcPr>
          <w:p w14:paraId="5114E144"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8.45</w:t>
            </w:r>
          </w:p>
        </w:tc>
        <w:tc>
          <w:tcPr>
            <w:tcW w:w="883" w:type="dxa"/>
            <w:tcBorders>
              <w:top w:val="nil"/>
              <w:left w:val="nil"/>
              <w:bottom w:val="single" w:sz="8" w:space="0" w:color="auto"/>
              <w:right w:val="single" w:sz="8" w:space="0" w:color="auto"/>
            </w:tcBorders>
            <w:shd w:val="clear" w:color="auto" w:fill="auto"/>
            <w:hideMark/>
          </w:tcPr>
          <w:p w14:paraId="2912D794"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23.04</w:t>
            </w:r>
          </w:p>
        </w:tc>
        <w:tc>
          <w:tcPr>
            <w:tcW w:w="887" w:type="dxa"/>
            <w:tcBorders>
              <w:top w:val="nil"/>
              <w:left w:val="nil"/>
              <w:bottom w:val="single" w:sz="8" w:space="0" w:color="auto"/>
              <w:right w:val="single" w:sz="8" w:space="0" w:color="auto"/>
            </w:tcBorders>
            <w:shd w:val="clear" w:color="auto" w:fill="auto"/>
            <w:hideMark/>
          </w:tcPr>
          <w:p w14:paraId="52E5157E"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20.76</w:t>
            </w:r>
          </w:p>
        </w:tc>
        <w:tc>
          <w:tcPr>
            <w:tcW w:w="740" w:type="dxa"/>
            <w:tcBorders>
              <w:top w:val="nil"/>
              <w:left w:val="nil"/>
              <w:bottom w:val="single" w:sz="8" w:space="0" w:color="auto"/>
              <w:right w:val="single" w:sz="8" w:space="0" w:color="auto"/>
            </w:tcBorders>
            <w:shd w:val="clear" w:color="000000" w:fill="FFFF00"/>
            <w:hideMark/>
          </w:tcPr>
          <w:p w14:paraId="39765C9D"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2.28</w:t>
            </w:r>
          </w:p>
        </w:tc>
        <w:tc>
          <w:tcPr>
            <w:tcW w:w="739" w:type="dxa"/>
            <w:tcBorders>
              <w:top w:val="nil"/>
              <w:left w:val="nil"/>
              <w:bottom w:val="single" w:sz="8" w:space="0" w:color="auto"/>
              <w:right w:val="single" w:sz="8" w:space="0" w:color="auto"/>
            </w:tcBorders>
            <w:shd w:val="clear" w:color="auto" w:fill="auto"/>
            <w:hideMark/>
          </w:tcPr>
          <w:p w14:paraId="0CCBC4B6"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0.56</w:t>
            </w:r>
          </w:p>
        </w:tc>
        <w:tc>
          <w:tcPr>
            <w:tcW w:w="740" w:type="dxa"/>
            <w:tcBorders>
              <w:top w:val="nil"/>
              <w:left w:val="nil"/>
              <w:bottom w:val="single" w:sz="8" w:space="0" w:color="auto"/>
              <w:right w:val="single" w:sz="8" w:space="0" w:color="auto"/>
            </w:tcBorders>
            <w:shd w:val="clear" w:color="auto" w:fill="auto"/>
            <w:hideMark/>
          </w:tcPr>
          <w:p w14:paraId="00462D26"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0.42</w:t>
            </w:r>
          </w:p>
        </w:tc>
        <w:tc>
          <w:tcPr>
            <w:tcW w:w="612" w:type="dxa"/>
            <w:tcBorders>
              <w:top w:val="nil"/>
              <w:left w:val="nil"/>
              <w:bottom w:val="single" w:sz="8" w:space="0" w:color="auto"/>
              <w:right w:val="single" w:sz="8" w:space="0" w:color="auto"/>
            </w:tcBorders>
            <w:shd w:val="clear" w:color="000000" w:fill="FFFF00"/>
            <w:hideMark/>
          </w:tcPr>
          <w:p w14:paraId="1F3EB2AB"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0.14</w:t>
            </w:r>
          </w:p>
        </w:tc>
        <w:tc>
          <w:tcPr>
            <w:tcW w:w="850" w:type="dxa"/>
            <w:tcBorders>
              <w:top w:val="nil"/>
              <w:left w:val="nil"/>
              <w:bottom w:val="single" w:sz="8" w:space="0" w:color="auto"/>
              <w:right w:val="single" w:sz="8" w:space="0" w:color="auto"/>
            </w:tcBorders>
            <w:shd w:val="clear" w:color="auto" w:fill="auto"/>
            <w:hideMark/>
          </w:tcPr>
          <w:p w14:paraId="435915E0" w14:textId="77777777" w:rsidR="00BA7A2B" w:rsidRPr="006517AE" w:rsidRDefault="00092846"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34.49</w:t>
            </w:r>
          </w:p>
        </w:tc>
        <w:tc>
          <w:tcPr>
            <w:tcW w:w="851" w:type="dxa"/>
            <w:tcBorders>
              <w:top w:val="nil"/>
              <w:left w:val="nil"/>
              <w:bottom w:val="single" w:sz="8" w:space="0" w:color="auto"/>
              <w:right w:val="single" w:sz="8" w:space="0" w:color="auto"/>
            </w:tcBorders>
            <w:shd w:val="clear" w:color="auto" w:fill="auto"/>
            <w:hideMark/>
          </w:tcPr>
          <w:p w14:paraId="4BA90CBD"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2.07</w:t>
            </w:r>
          </w:p>
        </w:tc>
        <w:tc>
          <w:tcPr>
            <w:tcW w:w="819" w:type="dxa"/>
            <w:tcBorders>
              <w:top w:val="nil"/>
              <w:left w:val="nil"/>
              <w:bottom w:val="single" w:sz="8" w:space="0" w:color="auto"/>
              <w:right w:val="single" w:sz="8" w:space="0" w:color="auto"/>
            </w:tcBorders>
            <w:shd w:val="clear" w:color="000000" w:fill="FFFF00"/>
            <w:hideMark/>
          </w:tcPr>
          <w:p w14:paraId="2F5A8AC0" w14:textId="77777777" w:rsidR="00BA7A2B" w:rsidRPr="006517AE" w:rsidRDefault="00092846"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32.42</w:t>
            </w:r>
          </w:p>
        </w:tc>
      </w:tr>
      <w:tr w:rsidR="00D93FFB" w:rsidRPr="006517AE" w14:paraId="21C1FE4E" w14:textId="77777777" w:rsidTr="00664CBF">
        <w:trPr>
          <w:trHeight w:val="238"/>
        </w:trPr>
        <w:tc>
          <w:tcPr>
            <w:tcW w:w="1276" w:type="dxa"/>
            <w:tcBorders>
              <w:top w:val="nil"/>
              <w:left w:val="single" w:sz="8" w:space="0" w:color="auto"/>
              <w:bottom w:val="single" w:sz="8" w:space="0" w:color="auto"/>
              <w:right w:val="single" w:sz="8" w:space="0" w:color="auto"/>
            </w:tcBorders>
            <w:shd w:val="clear" w:color="auto" w:fill="auto"/>
            <w:hideMark/>
          </w:tcPr>
          <w:p w14:paraId="1E70A219"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Interest on Working Capital</w:t>
            </w:r>
          </w:p>
        </w:tc>
        <w:tc>
          <w:tcPr>
            <w:tcW w:w="896" w:type="dxa"/>
            <w:tcBorders>
              <w:top w:val="nil"/>
              <w:left w:val="nil"/>
              <w:bottom w:val="single" w:sz="8" w:space="0" w:color="auto"/>
              <w:right w:val="single" w:sz="8" w:space="0" w:color="auto"/>
            </w:tcBorders>
            <w:shd w:val="clear" w:color="auto" w:fill="auto"/>
            <w:noWrap/>
            <w:hideMark/>
          </w:tcPr>
          <w:p w14:paraId="62074C2E"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5.57</w:t>
            </w:r>
          </w:p>
        </w:tc>
        <w:tc>
          <w:tcPr>
            <w:tcW w:w="842" w:type="dxa"/>
            <w:tcBorders>
              <w:top w:val="nil"/>
              <w:left w:val="nil"/>
              <w:bottom w:val="single" w:sz="8" w:space="0" w:color="auto"/>
              <w:right w:val="single" w:sz="8" w:space="0" w:color="auto"/>
            </w:tcBorders>
            <w:shd w:val="clear" w:color="auto" w:fill="auto"/>
            <w:hideMark/>
          </w:tcPr>
          <w:p w14:paraId="4D027C44"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4.69</w:t>
            </w:r>
          </w:p>
        </w:tc>
        <w:tc>
          <w:tcPr>
            <w:tcW w:w="891" w:type="dxa"/>
            <w:tcBorders>
              <w:top w:val="nil"/>
              <w:left w:val="nil"/>
              <w:bottom w:val="single" w:sz="8" w:space="0" w:color="auto"/>
              <w:right w:val="single" w:sz="8" w:space="0" w:color="auto"/>
            </w:tcBorders>
            <w:shd w:val="clear" w:color="000000" w:fill="FFFF00"/>
            <w:hideMark/>
          </w:tcPr>
          <w:p w14:paraId="73662AB2"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0.88</w:t>
            </w:r>
          </w:p>
        </w:tc>
        <w:tc>
          <w:tcPr>
            <w:tcW w:w="883" w:type="dxa"/>
            <w:tcBorders>
              <w:top w:val="nil"/>
              <w:left w:val="nil"/>
              <w:bottom w:val="single" w:sz="8" w:space="0" w:color="auto"/>
              <w:right w:val="single" w:sz="8" w:space="0" w:color="auto"/>
            </w:tcBorders>
            <w:shd w:val="clear" w:color="auto" w:fill="auto"/>
            <w:hideMark/>
          </w:tcPr>
          <w:p w14:paraId="3180E161"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2.6</w:t>
            </w:r>
          </w:p>
        </w:tc>
        <w:tc>
          <w:tcPr>
            <w:tcW w:w="887" w:type="dxa"/>
            <w:tcBorders>
              <w:top w:val="nil"/>
              <w:left w:val="nil"/>
              <w:bottom w:val="single" w:sz="8" w:space="0" w:color="auto"/>
              <w:right w:val="single" w:sz="8" w:space="0" w:color="auto"/>
            </w:tcBorders>
            <w:shd w:val="clear" w:color="auto" w:fill="auto"/>
            <w:hideMark/>
          </w:tcPr>
          <w:p w14:paraId="385323AD"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2.42</w:t>
            </w:r>
          </w:p>
        </w:tc>
        <w:tc>
          <w:tcPr>
            <w:tcW w:w="740" w:type="dxa"/>
            <w:tcBorders>
              <w:top w:val="nil"/>
              <w:left w:val="nil"/>
              <w:bottom w:val="single" w:sz="8" w:space="0" w:color="auto"/>
              <w:right w:val="single" w:sz="8" w:space="0" w:color="auto"/>
            </w:tcBorders>
            <w:shd w:val="clear" w:color="000000" w:fill="FFFF00"/>
            <w:hideMark/>
          </w:tcPr>
          <w:p w14:paraId="688C6ABA"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0.18</w:t>
            </w:r>
          </w:p>
        </w:tc>
        <w:tc>
          <w:tcPr>
            <w:tcW w:w="739" w:type="dxa"/>
            <w:tcBorders>
              <w:top w:val="nil"/>
              <w:left w:val="nil"/>
              <w:bottom w:val="single" w:sz="8" w:space="0" w:color="auto"/>
              <w:right w:val="single" w:sz="8" w:space="0" w:color="auto"/>
            </w:tcBorders>
            <w:shd w:val="clear" w:color="auto" w:fill="auto"/>
            <w:hideMark/>
          </w:tcPr>
          <w:p w14:paraId="6DE75B54"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0.19</w:t>
            </w:r>
          </w:p>
        </w:tc>
        <w:tc>
          <w:tcPr>
            <w:tcW w:w="740" w:type="dxa"/>
            <w:tcBorders>
              <w:top w:val="nil"/>
              <w:left w:val="nil"/>
              <w:bottom w:val="single" w:sz="8" w:space="0" w:color="auto"/>
              <w:right w:val="single" w:sz="8" w:space="0" w:color="auto"/>
            </w:tcBorders>
            <w:shd w:val="clear" w:color="auto" w:fill="auto"/>
            <w:hideMark/>
          </w:tcPr>
          <w:p w14:paraId="5FA785B9"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0.06</w:t>
            </w:r>
          </w:p>
        </w:tc>
        <w:tc>
          <w:tcPr>
            <w:tcW w:w="612" w:type="dxa"/>
            <w:tcBorders>
              <w:top w:val="nil"/>
              <w:left w:val="nil"/>
              <w:bottom w:val="single" w:sz="8" w:space="0" w:color="auto"/>
              <w:right w:val="single" w:sz="8" w:space="0" w:color="auto"/>
            </w:tcBorders>
            <w:shd w:val="clear" w:color="000000" w:fill="FFFF00"/>
            <w:hideMark/>
          </w:tcPr>
          <w:p w14:paraId="38C1ECBD"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0.13</w:t>
            </w:r>
          </w:p>
        </w:tc>
        <w:tc>
          <w:tcPr>
            <w:tcW w:w="850" w:type="dxa"/>
            <w:tcBorders>
              <w:top w:val="nil"/>
              <w:left w:val="nil"/>
              <w:bottom w:val="single" w:sz="8" w:space="0" w:color="auto"/>
              <w:right w:val="single" w:sz="8" w:space="0" w:color="auto"/>
            </w:tcBorders>
            <w:shd w:val="clear" w:color="auto" w:fill="auto"/>
            <w:hideMark/>
          </w:tcPr>
          <w:p w14:paraId="02A3E309" w14:textId="77777777" w:rsidR="00BA7A2B" w:rsidRPr="006517AE" w:rsidRDefault="00092846"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3.86</w:t>
            </w:r>
          </w:p>
        </w:tc>
        <w:tc>
          <w:tcPr>
            <w:tcW w:w="851" w:type="dxa"/>
            <w:tcBorders>
              <w:top w:val="nil"/>
              <w:left w:val="nil"/>
              <w:bottom w:val="single" w:sz="8" w:space="0" w:color="auto"/>
              <w:right w:val="single" w:sz="8" w:space="0" w:color="auto"/>
            </w:tcBorders>
            <w:shd w:val="clear" w:color="auto" w:fill="auto"/>
            <w:hideMark/>
          </w:tcPr>
          <w:p w14:paraId="6449719C"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1.72</w:t>
            </w:r>
          </w:p>
        </w:tc>
        <w:tc>
          <w:tcPr>
            <w:tcW w:w="819" w:type="dxa"/>
            <w:tcBorders>
              <w:top w:val="nil"/>
              <w:left w:val="nil"/>
              <w:bottom w:val="single" w:sz="8" w:space="0" w:color="auto"/>
              <w:right w:val="single" w:sz="8" w:space="0" w:color="auto"/>
            </w:tcBorders>
            <w:shd w:val="clear" w:color="000000" w:fill="FFFF00"/>
            <w:hideMark/>
          </w:tcPr>
          <w:p w14:paraId="7098675B" w14:textId="77777777" w:rsidR="00BA7A2B" w:rsidRPr="006517AE" w:rsidRDefault="00092846"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2.14</w:t>
            </w:r>
          </w:p>
        </w:tc>
      </w:tr>
      <w:tr w:rsidR="00D93FFB" w:rsidRPr="006517AE" w14:paraId="057E8C0F" w14:textId="77777777" w:rsidTr="00664CBF">
        <w:trPr>
          <w:trHeight w:val="238"/>
        </w:trPr>
        <w:tc>
          <w:tcPr>
            <w:tcW w:w="1276" w:type="dxa"/>
            <w:tcBorders>
              <w:top w:val="nil"/>
              <w:left w:val="single" w:sz="8" w:space="0" w:color="auto"/>
              <w:bottom w:val="single" w:sz="8" w:space="0" w:color="auto"/>
              <w:right w:val="single" w:sz="8" w:space="0" w:color="auto"/>
            </w:tcBorders>
            <w:shd w:val="clear" w:color="auto" w:fill="auto"/>
            <w:hideMark/>
          </w:tcPr>
          <w:p w14:paraId="2A45ADB6"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SLDC Charges</w:t>
            </w:r>
          </w:p>
        </w:tc>
        <w:tc>
          <w:tcPr>
            <w:tcW w:w="896" w:type="dxa"/>
            <w:tcBorders>
              <w:top w:val="nil"/>
              <w:left w:val="nil"/>
              <w:bottom w:val="single" w:sz="8" w:space="0" w:color="auto"/>
              <w:right w:val="single" w:sz="8" w:space="0" w:color="auto"/>
            </w:tcBorders>
            <w:shd w:val="clear" w:color="auto" w:fill="auto"/>
            <w:noWrap/>
            <w:hideMark/>
          </w:tcPr>
          <w:p w14:paraId="4E25DB82"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42" w:type="dxa"/>
            <w:tcBorders>
              <w:top w:val="nil"/>
              <w:left w:val="nil"/>
              <w:bottom w:val="single" w:sz="8" w:space="0" w:color="auto"/>
              <w:right w:val="single" w:sz="8" w:space="0" w:color="auto"/>
            </w:tcBorders>
            <w:shd w:val="clear" w:color="auto" w:fill="auto"/>
            <w:hideMark/>
          </w:tcPr>
          <w:p w14:paraId="1D62F381"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91" w:type="dxa"/>
            <w:tcBorders>
              <w:top w:val="nil"/>
              <w:left w:val="nil"/>
              <w:bottom w:val="single" w:sz="8" w:space="0" w:color="auto"/>
              <w:right w:val="single" w:sz="8" w:space="0" w:color="auto"/>
            </w:tcBorders>
            <w:shd w:val="clear" w:color="000000" w:fill="FFFF00"/>
            <w:hideMark/>
          </w:tcPr>
          <w:p w14:paraId="78245734"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w:t>
            </w:r>
          </w:p>
        </w:tc>
        <w:tc>
          <w:tcPr>
            <w:tcW w:w="883" w:type="dxa"/>
            <w:tcBorders>
              <w:top w:val="nil"/>
              <w:left w:val="nil"/>
              <w:bottom w:val="single" w:sz="8" w:space="0" w:color="auto"/>
              <w:right w:val="single" w:sz="8" w:space="0" w:color="auto"/>
            </w:tcBorders>
            <w:shd w:val="clear" w:color="auto" w:fill="auto"/>
            <w:hideMark/>
          </w:tcPr>
          <w:p w14:paraId="253260B3"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87" w:type="dxa"/>
            <w:tcBorders>
              <w:top w:val="nil"/>
              <w:left w:val="nil"/>
              <w:bottom w:val="single" w:sz="8" w:space="0" w:color="auto"/>
              <w:right w:val="single" w:sz="8" w:space="0" w:color="auto"/>
            </w:tcBorders>
            <w:shd w:val="clear" w:color="auto" w:fill="auto"/>
            <w:hideMark/>
          </w:tcPr>
          <w:p w14:paraId="18B481C8"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w:t>
            </w:r>
          </w:p>
        </w:tc>
        <w:tc>
          <w:tcPr>
            <w:tcW w:w="740" w:type="dxa"/>
            <w:tcBorders>
              <w:top w:val="nil"/>
              <w:left w:val="nil"/>
              <w:bottom w:val="single" w:sz="8" w:space="0" w:color="auto"/>
              <w:right w:val="single" w:sz="8" w:space="0" w:color="auto"/>
            </w:tcBorders>
            <w:shd w:val="clear" w:color="000000" w:fill="FFFF00"/>
            <w:hideMark/>
          </w:tcPr>
          <w:p w14:paraId="5FE38575"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739" w:type="dxa"/>
            <w:tcBorders>
              <w:top w:val="nil"/>
              <w:left w:val="nil"/>
              <w:bottom w:val="single" w:sz="8" w:space="0" w:color="auto"/>
              <w:right w:val="single" w:sz="8" w:space="0" w:color="auto"/>
            </w:tcBorders>
            <w:shd w:val="clear" w:color="auto" w:fill="auto"/>
            <w:hideMark/>
          </w:tcPr>
          <w:p w14:paraId="3683D55C"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740" w:type="dxa"/>
            <w:tcBorders>
              <w:top w:val="nil"/>
              <w:left w:val="nil"/>
              <w:bottom w:val="single" w:sz="8" w:space="0" w:color="auto"/>
              <w:right w:val="single" w:sz="8" w:space="0" w:color="auto"/>
            </w:tcBorders>
            <w:shd w:val="clear" w:color="auto" w:fill="auto"/>
            <w:hideMark/>
          </w:tcPr>
          <w:p w14:paraId="7A9D0DEC"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w:t>
            </w:r>
          </w:p>
        </w:tc>
        <w:tc>
          <w:tcPr>
            <w:tcW w:w="612" w:type="dxa"/>
            <w:tcBorders>
              <w:top w:val="nil"/>
              <w:left w:val="nil"/>
              <w:bottom w:val="single" w:sz="8" w:space="0" w:color="auto"/>
              <w:right w:val="single" w:sz="8" w:space="0" w:color="auto"/>
            </w:tcBorders>
            <w:shd w:val="clear" w:color="000000" w:fill="FFFF00"/>
            <w:hideMark/>
          </w:tcPr>
          <w:p w14:paraId="762C1F53"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50" w:type="dxa"/>
            <w:tcBorders>
              <w:top w:val="nil"/>
              <w:left w:val="nil"/>
              <w:bottom w:val="single" w:sz="8" w:space="0" w:color="auto"/>
              <w:right w:val="single" w:sz="8" w:space="0" w:color="auto"/>
            </w:tcBorders>
            <w:shd w:val="clear" w:color="auto" w:fill="auto"/>
            <w:hideMark/>
          </w:tcPr>
          <w:p w14:paraId="15BAB874"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51" w:type="dxa"/>
            <w:tcBorders>
              <w:top w:val="nil"/>
              <w:left w:val="nil"/>
              <w:bottom w:val="single" w:sz="8" w:space="0" w:color="auto"/>
              <w:right w:val="single" w:sz="8" w:space="0" w:color="auto"/>
            </w:tcBorders>
            <w:shd w:val="clear" w:color="auto" w:fill="auto"/>
            <w:hideMark/>
          </w:tcPr>
          <w:p w14:paraId="3742F303"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w:t>
            </w:r>
          </w:p>
        </w:tc>
        <w:tc>
          <w:tcPr>
            <w:tcW w:w="819" w:type="dxa"/>
            <w:tcBorders>
              <w:top w:val="nil"/>
              <w:left w:val="nil"/>
              <w:bottom w:val="single" w:sz="8" w:space="0" w:color="auto"/>
              <w:right w:val="single" w:sz="8" w:space="0" w:color="auto"/>
            </w:tcBorders>
            <w:shd w:val="clear" w:color="000000" w:fill="FFFF00"/>
            <w:hideMark/>
          </w:tcPr>
          <w:p w14:paraId="1E718EC3"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r>
      <w:tr w:rsidR="00D93FFB" w:rsidRPr="006517AE" w14:paraId="766BF029" w14:textId="77777777" w:rsidTr="00664CBF">
        <w:trPr>
          <w:trHeight w:val="238"/>
        </w:trPr>
        <w:tc>
          <w:tcPr>
            <w:tcW w:w="1276" w:type="dxa"/>
            <w:tcBorders>
              <w:top w:val="nil"/>
              <w:left w:val="single" w:sz="8" w:space="0" w:color="auto"/>
              <w:bottom w:val="single" w:sz="8" w:space="0" w:color="auto"/>
              <w:right w:val="single" w:sz="8" w:space="0" w:color="auto"/>
            </w:tcBorders>
            <w:shd w:val="clear" w:color="auto" w:fill="auto"/>
            <w:hideMark/>
          </w:tcPr>
          <w:p w14:paraId="62CFDE49"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Net Prior Period items</w:t>
            </w:r>
          </w:p>
        </w:tc>
        <w:tc>
          <w:tcPr>
            <w:tcW w:w="896" w:type="dxa"/>
            <w:tcBorders>
              <w:top w:val="nil"/>
              <w:left w:val="nil"/>
              <w:bottom w:val="single" w:sz="8" w:space="0" w:color="auto"/>
              <w:right w:val="single" w:sz="8" w:space="0" w:color="auto"/>
            </w:tcBorders>
            <w:shd w:val="clear" w:color="auto" w:fill="auto"/>
            <w:noWrap/>
            <w:hideMark/>
          </w:tcPr>
          <w:p w14:paraId="5B8F7142"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42" w:type="dxa"/>
            <w:tcBorders>
              <w:top w:val="nil"/>
              <w:left w:val="nil"/>
              <w:bottom w:val="single" w:sz="8" w:space="0" w:color="auto"/>
              <w:right w:val="single" w:sz="8" w:space="0" w:color="auto"/>
            </w:tcBorders>
            <w:shd w:val="clear" w:color="auto" w:fill="auto"/>
            <w:hideMark/>
          </w:tcPr>
          <w:p w14:paraId="28F8C98B"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91" w:type="dxa"/>
            <w:tcBorders>
              <w:top w:val="nil"/>
              <w:left w:val="nil"/>
              <w:bottom w:val="single" w:sz="8" w:space="0" w:color="auto"/>
              <w:right w:val="single" w:sz="8" w:space="0" w:color="auto"/>
            </w:tcBorders>
            <w:shd w:val="clear" w:color="000000" w:fill="FFFF00"/>
            <w:hideMark/>
          </w:tcPr>
          <w:p w14:paraId="6B58A7CB"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w:t>
            </w:r>
          </w:p>
        </w:tc>
        <w:tc>
          <w:tcPr>
            <w:tcW w:w="883" w:type="dxa"/>
            <w:tcBorders>
              <w:top w:val="nil"/>
              <w:left w:val="nil"/>
              <w:bottom w:val="single" w:sz="8" w:space="0" w:color="auto"/>
              <w:right w:val="single" w:sz="8" w:space="0" w:color="auto"/>
            </w:tcBorders>
            <w:shd w:val="clear" w:color="auto" w:fill="auto"/>
            <w:hideMark/>
          </w:tcPr>
          <w:p w14:paraId="432A0FD5"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87" w:type="dxa"/>
            <w:tcBorders>
              <w:top w:val="nil"/>
              <w:left w:val="nil"/>
              <w:bottom w:val="single" w:sz="8" w:space="0" w:color="auto"/>
              <w:right w:val="single" w:sz="8" w:space="0" w:color="auto"/>
            </w:tcBorders>
            <w:shd w:val="clear" w:color="auto" w:fill="auto"/>
            <w:hideMark/>
          </w:tcPr>
          <w:p w14:paraId="3FAE263C"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w:t>
            </w:r>
          </w:p>
        </w:tc>
        <w:tc>
          <w:tcPr>
            <w:tcW w:w="740" w:type="dxa"/>
            <w:tcBorders>
              <w:top w:val="nil"/>
              <w:left w:val="nil"/>
              <w:bottom w:val="single" w:sz="8" w:space="0" w:color="auto"/>
              <w:right w:val="single" w:sz="8" w:space="0" w:color="auto"/>
            </w:tcBorders>
            <w:shd w:val="clear" w:color="000000" w:fill="FFFF00"/>
            <w:hideMark/>
          </w:tcPr>
          <w:p w14:paraId="16FDAD0E"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739" w:type="dxa"/>
            <w:tcBorders>
              <w:top w:val="nil"/>
              <w:left w:val="nil"/>
              <w:bottom w:val="single" w:sz="8" w:space="0" w:color="auto"/>
              <w:right w:val="single" w:sz="8" w:space="0" w:color="auto"/>
            </w:tcBorders>
            <w:shd w:val="clear" w:color="auto" w:fill="auto"/>
            <w:hideMark/>
          </w:tcPr>
          <w:p w14:paraId="1CE4C316"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740" w:type="dxa"/>
            <w:tcBorders>
              <w:top w:val="nil"/>
              <w:left w:val="nil"/>
              <w:bottom w:val="single" w:sz="8" w:space="0" w:color="auto"/>
              <w:right w:val="single" w:sz="8" w:space="0" w:color="auto"/>
            </w:tcBorders>
            <w:shd w:val="clear" w:color="auto" w:fill="auto"/>
            <w:hideMark/>
          </w:tcPr>
          <w:p w14:paraId="0F1CE409"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w:t>
            </w:r>
          </w:p>
        </w:tc>
        <w:tc>
          <w:tcPr>
            <w:tcW w:w="612" w:type="dxa"/>
            <w:tcBorders>
              <w:top w:val="nil"/>
              <w:left w:val="nil"/>
              <w:bottom w:val="single" w:sz="8" w:space="0" w:color="auto"/>
              <w:right w:val="single" w:sz="8" w:space="0" w:color="auto"/>
            </w:tcBorders>
            <w:shd w:val="clear" w:color="000000" w:fill="FFFF00"/>
            <w:hideMark/>
          </w:tcPr>
          <w:p w14:paraId="6264D3DB"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50" w:type="dxa"/>
            <w:tcBorders>
              <w:top w:val="nil"/>
              <w:left w:val="nil"/>
              <w:bottom w:val="single" w:sz="8" w:space="0" w:color="auto"/>
              <w:right w:val="single" w:sz="8" w:space="0" w:color="auto"/>
            </w:tcBorders>
            <w:shd w:val="clear" w:color="auto" w:fill="auto"/>
            <w:hideMark/>
          </w:tcPr>
          <w:p w14:paraId="5120674D"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51" w:type="dxa"/>
            <w:tcBorders>
              <w:top w:val="nil"/>
              <w:left w:val="nil"/>
              <w:bottom w:val="single" w:sz="8" w:space="0" w:color="auto"/>
              <w:right w:val="single" w:sz="8" w:space="0" w:color="auto"/>
            </w:tcBorders>
            <w:shd w:val="clear" w:color="auto" w:fill="auto"/>
            <w:hideMark/>
          </w:tcPr>
          <w:p w14:paraId="6327E0A5"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w:t>
            </w:r>
          </w:p>
        </w:tc>
        <w:tc>
          <w:tcPr>
            <w:tcW w:w="819" w:type="dxa"/>
            <w:tcBorders>
              <w:top w:val="nil"/>
              <w:left w:val="nil"/>
              <w:bottom w:val="single" w:sz="8" w:space="0" w:color="auto"/>
              <w:right w:val="single" w:sz="8" w:space="0" w:color="auto"/>
            </w:tcBorders>
            <w:shd w:val="clear" w:color="000000" w:fill="FFFF00"/>
            <w:hideMark/>
          </w:tcPr>
          <w:p w14:paraId="0BE1F475"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r>
      <w:tr w:rsidR="00D93FFB" w:rsidRPr="006517AE" w14:paraId="16C40E87" w14:textId="77777777" w:rsidTr="00664CBF">
        <w:trPr>
          <w:trHeight w:val="419"/>
        </w:trPr>
        <w:tc>
          <w:tcPr>
            <w:tcW w:w="1276" w:type="dxa"/>
            <w:tcBorders>
              <w:top w:val="nil"/>
              <w:left w:val="single" w:sz="8" w:space="0" w:color="auto"/>
              <w:bottom w:val="single" w:sz="8" w:space="0" w:color="auto"/>
              <w:right w:val="single" w:sz="8" w:space="0" w:color="auto"/>
            </w:tcBorders>
            <w:shd w:val="clear" w:color="auto" w:fill="auto"/>
            <w:hideMark/>
          </w:tcPr>
          <w:p w14:paraId="25E955EC"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Gross AFC</w:t>
            </w:r>
          </w:p>
        </w:tc>
        <w:tc>
          <w:tcPr>
            <w:tcW w:w="896" w:type="dxa"/>
            <w:tcBorders>
              <w:top w:val="nil"/>
              <w:left w:val="nil"/>
              <w:bottom w:val="single" w:sz="8" w:space="0" w:color="auto"/>
              <w:right w:val="single" w:sz="8" w:space="0" w:color="auto"/>
            </w:tcBorders>
            <w:shd w:val="clear" w:color="auto" w:fill="auto"/>
            <w:noWrap/>
            <w:hideMark/>
          </w:tcPr>
          <w:p w14:paraId="0392107C"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202.7</w:t>
            </w:r>
          </w:p>
        </w:tc>
        <w:tc>
          <w:tcPr>
            <w:tcW w:w="842" w:type="dxa"/>
            <w:tcBorders>
              <w:top w:val="nil"/>
              <w:left w:val="nil"/>
              <w:bottom w:val="single" w:sz="8" w:space="0" w:color="auto"/>
              <w:right w:val="single" w:sz="8" w:space="0" w:color="auto"/>
            </w:tcBorders>
            <w:shd w:val="clear" w:color="auto" w:fill="auto"/>
            <w:hideMark/>
          </w:tcPr>
          <w:p w14:paraId="158F1F0B"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166.2</w:t>
            </w:r>
          </w:p>
        </w:tc>
        <w:tc>
          <w:tcPr>
            <w:tcW w:w="891" w:type="dxa"/>
            <w:tcBorders>
              <w:top w:val="nil"/>
              <w:left w:val="nil"/>
              <w:bottom w:val="single" w:sz="8" w:space="0" w:color="auto"/>
              <w:right w:val="single" w:sz="8" w:space="0" w:color="auto"/>
            </w:tcBorders>
            <w:shd w:val="clear" w:color="000000" w:fill="FFFF00"/>
            <w:hideMark/>
          </w:tcPr>
          <w:p w14:paraId="2EA6B31A"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36.58</w:t>
            </w:r>
          </w:p>
        </w:tc>
        <w:tc>
          <w:tcPr>
            <w:tcW w:w="883" w:type="dxa"/>
            <w:tcBorders>
              <w:top w:val="nil"/>
              <w:left w:val="nil"/>
              <w:bottom w:val="single" w:sz="8" w:space="0" w:color="auto"/>
              <w:right w:val="single" w:sz="8" w:space="0" w:color="auto"/>
            </w:tcBorders>
            <w:shd w:val="clear" w:color="auto" w:fill="auto"/>
            <w:hideMark/>
          </w:tcPr>
          <w:p w14:paraId="4C31B892"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101.1</w:t>
            </w:r>
          </w:p>
        </w:tc>
        <w:tc>
          <w:tcPr>
            <w:tcW w:w="887" w:type="dxa"/>
            <w:tcBorders>
              <w:top w:val="nil"/>
              <w:left w:val="nil"/>
              <w:bottom w:val="single" w:sz="8" w:space="0" w:color="auto"/>
              <w:right w:val="single" w:sz="8" w:space="0" w:color="auto"/>
            </w:tcBorders>
            <w:shd w:val="clear" w:color="auto" w:fill="auto"/>
            <w:hideMark/>
          </w:tcPr>
          <w:p w14:paraId="2A82A7DC"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94.88</w:t>
            </w:r>
          </w:p>
        </w:tc>
        <w:tc>
          <w:tcPr>
            <w:tcW w:w="740" w:type="dxa"/>
            <w:tcBorders>
              <w:top w:val="nil"/>
              <w:left w:val="nil"/>
              <w:bottom w:val="single" w:sz="8" w:space="0" w:color="auto"/>
              <w:right w:val="single" w:sz="8" w:space="0" w:color="auto"/>
            </w:tcBorders>
            <w:shd w:val="clear" w:color="000000" w:fill="FFFF00"/>
            <w:hideMark/>
          </w:tcPr>
          <w:p w14:paraId="716E6F32"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6.18</w:t>
            </w:r>
          </w:p>
        </w:tc>
        <w:tc>
          <w:tcPr>
            <w:tcW w:w="739" w:type="dxa"/>
            <w:tcBorders>
              <w:top w:val="nil"/>
              <w:left w:val="nil"/>
              <w:bottom w:val="single" w:sz="8" w:space="0" w:color="auto"/>
              <w:right w:val="single" w:sz="8" w:space="0" w:color="auto"/>
            </w:tcBorders>
            <w:shd w:val="clear" w:color="auto" w:fill="auto"/>
            <w:hideMark/>
          </w:tcPr>
          <w:p w14:paraId="34ACCDEC" w14:textId="43D8C92D" w:rsidR="00BA7A2B" w:rsidRPr="006517AE" w:rsidRDefault="000C15D5"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2.86</w:t>
            </w:r>
          </w:p>
        </w:tc>
        <w:tc>
          <w:tcPr>
            <w:tcW w:w="740" w:type="dxa"/>
            <w:tcBorders>
              <w:top w:val="nil"/>
              <w:left w:val="nil"/>
              <w:bottom w:val="single" w:sz="8" w:space="0" w:color="auto"/>
              <w:right w:val="single" w:sz="8" w:space="0" w:color="auto"/>
            </w:tcBorders>
            <w:shd w:val="clear" w:color="auto" w:fill="auto"/>
            <w:hideMark/>
          </w:tcPr>
          <w:p w14:paraId="64649AD8"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1.86</w:t>
            </w:r>
          </w:p>
        </w:tc>
        <w:tc>
          <w:tcPr>
            <w:tcW w:w="612" w:type="dxa"/>
            <w:tcBorders>
              <w:top w:val="nil"/>
              <w:left w:val="nil"/>
              <w:bottom w:val="single" w:sz="8" w:space="0" w:color="auto"/>
              <w:right w:val="single" w:sz="8" w:space="0" w:color="auto"/>
            </w:tcBorders>
            <w:shd w:val="clear" w:color="000000" w:fill="FFFF00"/>
            <w:hideMark/>
          </w:tcPr>
          <w:p w14:paraId="02952E95" w14:textId="6A68DAEC" w:rsidR="00BA7A2B" w:rsidRPr="006517AE" w:rsidRDefault="000C15D5"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1.0</w:t>
            </w:r>
          </w:p>
        </w:tc>
        <w:tc>
          <w:tcPr>
            <w:tcW w:w="850" w:type="dxa"/>
            <w:tcBorders>
              <w:top w:val="nil"/>
              <w:left w:val="nil"/>
              <w:bottom w:val="single" w:sz="8" w:space="0" w:color="auto"/>
              <w:right w:val="single" w:sz="8" w:space="0" w:color="auto"/>
            </w:tcBorders>
            <w:shd w:val="clear" w:color="auto" w:fill="auto"/>
            <w:hideMark/>
          </w:tcPr>
          <w:p w14:paraId="3028C300" w14:textId="7382868A" w:rsidR="00BA7A2B" w:rsidRPr="006517AE" w:rsidRDefault="00E01B5E"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182.89</w:t>
            </w:r>
          </w:p>
        </w:tc>
        <w:tc>
          <w:tcPr>
            <w:tcW w:w="851" w:type="dxa"/>
            <w:tcBorders>
              <w:top w:val="nil"/>
              <w:left w:val="nil"/>
              <w:bottom w:val="single" w:sz="8" w:space="0" w:color="auto"/>
              <w:right w:val="single" w:sz="8" w:space="0" w:color="auto"/>
            </w:tcBorders>
            <w:shd w:val="clear" w:color="auto" w:fill="auto"/>
            <w:hideMark/>
          </w:tcPr>
          <w:p w14:paraId="26CDABAC" w14:textId="7FA71492" w:rsidR="00BA7A2B" w:rsidRPr="006517AE" w:rsidRDefault="00E01B5E"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52.40</w:t>
            </w:r>
          </w:p>
        </w:tc>
        <w:tc>
          <w:tcPr>
            <w:tcW w:w="819" w:type="dxa"/>
            <w:tcBorders>
              <w:top w:val="nil"/>
              <w:left w:val="nil"/>
              <w:bottom w:val="single" w:sz="8" w:space="0" w:color="auto"/>
              <w:right w:val="single" w:sz="8" w:space="0" w:color="auto"/>
            </w:tcBorders>
            <w:shd w:val="clear" w:color="000000" w:fill="FFFF00"/>
            <w:hideMark/>
          </w:tcPr>
          <w:p w14:paraId="3B3FB9B4" w14:textId="234B9695" w:rsidR="00BA7A2B" w:rsidRPr="006517AE" w:rsidRDefault="00E01B5E"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130.49</w:t>
            </w:r>
          </w:p>
        </w:tc>
      </w:tr>
      <w:tr w:rsidR="00D93FFB" w:rsidRPr="006517AE" w14:paraId="1DFDA3D9" w14:textId="77777777" w:rsidTr="00664CBF">
        <w:trPr>
          <w:trHeight w:val="238"/>
        </w:trPr>
        <w:tc>
          <w:tcPr>
            <w:tcW w:w="1276" w:type="dxa"/>
            <w:tcBorders>
              <w:top w:val="nil"/>
              <w:left w:val="single" w:sz="8" w:space="0" w:color="auto"/>
              <w:bottom w:val="single" w:sz="8" w:space="0" w:color="auto"/>
              <w:right w:val="single" w:sz="8" w:space="0" w:color="auto"/>
            </w:tcBorders>
            <w:shd w:val="clear" w:color="auto" w:fill="auto"/>
            <w:hideMark/>
          </w:tcPr>
          <w:p w14:paraId="7A6E063D"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 xml:space="preserve">Less: </w:t>
            </w:r>
            <w:r w:rsidRPr="006517AE">
              <w:rPr>
                <w:rFonts w:asciiTheme="majorHAnsi" w:eastAsia="Times New Roman" w:hAnsiTheme="majorHAnsi" w:cs="Times New Roman"/>
                <w:color w:val="000000"/>
                <w:sz w:val="18"/>
                <w:szCs w:val="18"/>
                <w:lang w:eastAsia="en-IN"/>
              </w:rPr>
              <w:t>Non-Tariff Income</w:t>
            </w:r>
          </w:p>
        </w:tc>
        <w:tc>
          <w:tcPr>
            <w:tcW w:w="896" w:type="dxa"/>
            <w:tcBorders>
              <w:top w:val="nil"/>
              <w:left w:val="nil"/>
              <w:bottom w:val="single" w:sz="8" w:space="0" w:color="auto"/>
              <w:right w:val="single" w:sz="8" w:space="0" w:color="auto"/>
            </w:tcBorders>
            <w:shd w:val="clear" w:color="auto" w:fill="auto"/>
            <w:noWrap/>
            <w:hideMark/>
          </w:tcPr>
          <w:p w14:paraId="69F25103"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42" w:type="dxa"/>
            <w:tcBorders>
              <w:top w:val="nil"/>
              <w:left w:val="nil"/>
              <w:bottom w:val="single" w:sz="8" w:space="0" w:color="auto"/>
              <w:right w:val="single" w:sz="8" w:space="0" w:color="auto"/>
            </w:tcBorders>
            <w:shd w:val="clear" w:color="auto" w:fill="auto"/>
            <w:hideMark/>
          </w:tcPr>
          <w:p w14:paraId="101ACDDD"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91" w:type="dxa"/>
            <w:tcBorders>
              <w:top w:val="nil"/>
              <w:left w:val="nil"/>
              <w:bottom w:val="single" w:sz="8" w:space="0" w:color="auto"/>
              <w:right w:val="single" w:sz="8" w:space="0" w:color="auto"/>
            </w:tcBorders>
            <w:shd w:val="clear" w:color="000000" w:fill="FFFF00"/>
            <w:hideMark/>
          </w:tcPr>
          <w:p w14:paraId="6F584EBB"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w:t>
            </w:r>
          </w:p>
        </w:tc>
        <w:tc>
          <w:tcPr>
            <w:tcW w:w="883" w:type="dxa"/>
            <w:tcBorders>
              <w:top w:val="nil"/>
              <w:left w:val="nil"/>
              <w:bottom w:val="single" w:sz="8" w:space="0" w:color="auto"/>
              <w:right w:val="single" w:sz="8" w:space="0" w:color="auto"/>
            </w:tcBorders>
            <w:shd w:val="clear" w:color="auto" w:fill="auto"/>
            <w:hideMark/>
          </w:tcPr>
          <w:p w14:paraId="29D145A9"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0.01</w:t>
            </w:r>
          </w:p>
        </w:tc>
        <w:tc>
          <w:tcPr>
            <w:tcW w:w="887" w:type="dxa"/>
            <w:tcBorders>
              <w:top w:val="nil"/>
              <w:left w:val="nil"/>
              <w:bottom w:val="single" w:sz="8" w:space="0" w:color="auto"/>
              <w:right w:val="single" w:sz="8" w:space="0" w:color="auto"/>
            </w:tcBorders>
            <w:shd w:val="clear" w:color="auto" w:fill="auto"/>
            <w:hideMark/>
          </w:tcPr>
          <w:p w14:paraId="5C6A2342"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0.01</w:t>
            </w:r>
          </w:p>
        </w:tc>
        <w:tc>
          <w:tcPr>
            <w:tcW w:w="740" w:type="dxa"/>
            <w:tcBorders>
              <w:top w:val="nil"/>
              <w:left w:val="nil"/>
              <w:bottom w:val="single" w:sz="8" w:space="0" w:color="auto"/>
              <w:right w:val="single" w:sz="8" w:space="0" w:color="auto"/>
            </w:tcBorders>
            <w:shd w:val="clear" w:color="000000" w:fill="FFFF00"/>
            <w:hideMark/>
          </w:tcPr>
          <w:p w14:paraId="6ED78406"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739" w:type="dxa"/>
            <w:tcBorders>
              <w:top w:val="nil"/>
              <w:left w:val="nil"/>
              <w:bottom w:val="single" w:sz="8" w:space="0" w:color="auto"/>
              <w:right w:val="single" w:sz="8" w:space="0" w:color="auto"/>
            </w:tcBorders>
            <w:shd w:val="clear" w:color="auto" w:fill="auto"/>
            <w:hideMark/>
          </w:tcPr>
          <w:p w14:paraId="5CF0CD58"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740" w:type="dxa"/>
            <w:tcBorders>
              <w:top w:val="nil"/>
              <w:left w:val="nil"/>
              <w:bottom w:val="single" w:sz="8" w:space="0" w:color="auto"/>
              <w:right w:val="single" w:sz="8" w:space="0" w:color="auto"/>
            </w:tcBorders>
            <w:shd w:val="clear" w:color="auto" w:fill="auto"/>
            <w:hideMark/>
          </w:tcPr>
          <w:p w14:paraId="1D0289DA"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0</w:t>
            </w:r>
          </w:p>
        </w:tc>
        <w:tc>
          <w:tcPr>
            <w:tcW w:w="612" w:type="dxa"/>
            <w:tcBorders>
              <w:top w:val="nil"/>
              <w:left w:val="nil"/>
              <w:bottom w:val="single" w:sz="8" w:space="0" w:color="auto"/>
              <w:right w:val="single" w:sz="8" w:space="0" w:color="auto"/>
            </w:tcBorders>
            <w:shd w:val="clear" w:color="000000" w:fill="FFFF00"/>
            <w:hideMark/>
          </w:tcPr>
          <w:p w14:paraId="056F44B8"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w:t>
            </w:r>
          </w:p>
        </w:tc>
        <w:tc>
          <w:tcPr>
            <w:tcW w:w="850" w:type="dxa"/>
            <w:tcBorders>
              <w:top w:val="nil"/>
              <w:left w:val="nil"/>
              <w:bottom w:val="single" w:sz="8" w:space="0" w:color="auto"/>
              <w:right w:val="single" w:sz="8" w:space="0" w:color="auto"/>
            </w:tcBorders>
            <w:shd w:val="clear" w:color="auto" w:fill="auto"/>
            <w:hideMark/>
          </w:tcPr>
          <w:p w14:paraId="18ABF620"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19.75</w:t>
            </w:r>
          </w:p>
        </w:tc>
        <w:tc>
          <w:tcPr>
            <w:tcW w:w="851" w:type="dxa"/>
            <w:tcBorders>
              <w:top w:val="nil"/>
              <w:left w:val="nil"/>
              <w:bottom w:val="single" w:sz="8" w:space="0" w:color="auto"/>
              <w:right w:val="single" w:sz="8" w:space="0" w:color="auto"/>
            </w:tcBorders>
            <w:shd w:val="clear" w:color="auto" w:fill="auto"/>
            <w:hideMark/>
          </w:tcPr>
          <w:p w14:paraId="180DF4B5"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18.86</w:t>
            </w:r>
          </w:p>
        </w:tc>
        <w:tc>
          <w:tcPr>
            <w:tcW w:w="819" w:type="dxa"/>
            <w:tcBorders>
              <w:top w:val="nil"/>
              <w:left w:val="nil"/>
              <w:bottom w:val="single" w:sz="8" w:space="0" w:color="auto"/>
              <w:right w:val="single" w:sz="8" w:space="0" w:color="auto"/>
            </w:tcBorders>
            <w:shd w:val="clear" w:color="000000" w:fill="FFFF00"/>
            <w:hideMark/>
          </w:tcPr>
          <w:p w14:paraId="6A717761"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p>
        </w:tc>
      </w:tr>
      <w:tr w:rsidR="00D93FFB" w:rsidRPr="006517AE" w14:paraId="31FCB4A0" w14:textId="77777777" w:rsidTr="00664CBF">
        <w:trPr>
          <w:trHeight w:val="238"/>
        </w:trPr>
        <w:tc>
          <w:tcPr>
            <w:tcW w:w="1276" w:type="dxa"/>
            <w:tcBorders>
              <w:top w:val="nil"/>
              <w:left w:val="single" w:sz="8" w:space="0" w:color="auto"/>
              <w:bottom w:val="single" w:sz="8" w:space="0" w:color="auto"/>
              <w:right w:val="single" w:sz="8" w:space="0" w:color="auto"/>
            </w:tcBorders>
            <w:shd w:val="clear" w:color="auto" w:fill="auto"/>
            <w:hideMark/>
          </w:tcPr>
          <w:p w14:paraId="26838CFB"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Net AFC</w:t>
            </w:r>
          </w:p>
        </w:tc>
        <w:tc>
          <w:tcPr>
            <w:tcW w:w="896" w:type="dxa"/>
            <w:tcBorders>
              <w:top w:val="nil"/>
              <w:left w:val="nil"/>
              <w:bottom w:val="single" w:sz="8" w:space="0" w:color="auto"/>
              <w:right w:val="single" w:sz="8" w:space="0" w:color="auto"/>
            </w:tcBorders>
            <w:shd w:val="clear" w:color="auto" w:fill="auto"/>
            <w:noWrap/>
            <w:hideMark/>
          </w:tcPr>
          <w:p w14:paraId="1FC44829"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202.7</w:t>
            </w:r>
          </w:p>
        </w:tc>
        <w:tc>
          <w:tcPr>
            <w:tcW w:w="842" w:type="dxa"/>
            <w:tcBorders>
              <w:top w:val="nil"/>
              <w:left w:val="nil"/>
              <w:bottom w:val="single" w:sz="8" w:space="0" w:color="auto"/>
              <w:right w:val="single" w:sz="8" w:space="0" w:color="auto"/>
            </w:tcBorders>
            <w:shd w:val="clear" w:color="auto" w:fill="auto"/>
            <w:hideMark/>
          </w:tcPr>
          <w:p w14:paraId="4811119B"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166.2</w:t>
            </w:r>
          </w:p>
        </w:tc>
        <w:tc>
          <w:tcPr>
            <w:tcW w:w="891" w:type="dxa"/>
            <w:tcBorders>
              <w:top w:val="nil"/>
              <w:left w:val="nil"/>
              <w:bottom w:val="single" w:sz="8" w:space="0" w:color="auto"/>
              <w:right w:val="single" w:sz="8" w:space="0" w:color="auto"/>
            </w:tcBorders>
            <w:shd w:val="clear" w:color="000000" w:fill="FFFF00"/>
            <w:hideMark/>
          </w:tcPr>
          <w:p w14:paraId="51DD3070"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36.54</w:t>
            </w:r>
          </w:p>
        </w:tc>
        <w:tc>
          <w:tcPr>
            <w:tcW w:w="883" w:type="dxa"/>
            <w:tcBorders>
              <w:top w:val="nil"/>
              <w:left w:val="nil"/>
              <w:bottom w:val="single" w:sz="8" w:space="0" w:color="auto"/>
              <w:right w:val="single" w:sz="8" w:space="0" w:color="auto"/>
            </w:tcBorders>
            <w:shd w:val="clear" w:color="auto" w:fill="auto"/>
            <w:hideMark/>
          </w:tcPr>
          <w:p w14:paraId="2D981D51"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101.1</w:t>
            </w:r>
          </w:p>
        </w:tc>
        <w:tc>
          <w:tcPr>
            <w:tcW w:w="887" w:type="dxa"/>
            <w:tcBorders>
              <w:top w:val="nil"/>
              <w:left w:val="nil"/>
              <w:bottom w:val="single" w:sz="8" w:space="0" w:color="auto"/>
              <w:right w:val="single" w:sz="8" w:space="0" w:color="auto"/>
            </w:tcBorders>
            <w:shd w:val="clear" w:color="auto" w:fill="auto"/>
            <w:hideMark/>
          </w:tcPr>
          <w:p w14:paraId="3FA98418"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94.87</w:t>
            </w:r>
          </w:p>
        </w:tc>
        <w:tc>
          <w:tcPr>
            <w:tcW w:w="740" w:type="dxa"/>
            <w:tcBorders>
              <w:top w:val="nil"/>
              <w:left w:val="nil"/>
              <w:bottom w:val="single" w:sz="8" w:space="0" w:color="auto"/>
              <w:right w:val="single" w:sz="8" w:space="0" w:color="auto"/>
            </w:tcBorders>
            <w:shd w:val="clear" w:color="000000" w:fill="FFFF00"/>
            <w:hideMark/>
          </w:tcPr>
          <w:p w14:paraId="653D5420"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6.18</w:t>
            </w:r>
          </w:p>
        </w:tc>
        <w:tc>
          <w:tcPr>
            <w:tcW w:w="739" w:type="dxa"/>
            <w:tcBorders>
              <w:top w:val="nil"/>
              <w:left w:val="nil"/>
              <w:bottom w:val="single" w:sz="8" w:space="0" w:color="auto"/>
              <w:right w:val="single" w:sz="8" w:space="0" w:color="auto"/>
            </w:tcBorders>
            <w:shd w:val="clear" w:color="auto" w:fill="auto"/>
            <w:hideMark/>
          </w:tcPr>
          <w:p w14:paraId="7CD12D6F" w14:textId="71493066" w:rsidR="00BA7A2B" w:rsidRPr="006517AE" w:rsidRDefault="000C15D5"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2.86</w:t>
            </w:r>
          </w:p>
        </w:tc>
        <w:tc>
          <w:tcPr>
            <w:tcW w:w="740" w:type="dxa"/>
            <w:tcBorders>
              <w:top w:val="nil"/>
              <w:left w:val="nil"/>
              <w:bottom w:val="single" w:sz="8" w:space="0" w:color="auto"/>
              <w:right w:val="single" w:sz="8" w:space="0" w:color="auto"/>
            </w:tcBorders>
            <w:shd w:val="clear" w:color="auto" w:fill="auto"/>
            <w:hideMark/>
          </w:tcPr>
          <w:p w14:paraId="7FC8E50B"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1.86</w:t>
            </w:r>
          </w:p>
        </w:tc>
        <w:tc>
          <w:tcPr>
            <w:tcW w:w="612" w:type="dxa"/>
            <w:tcBorders>
              <w:top w:val="nil"/>
              <w:left w:val="nil"/>
              <w:bottom w:val="single" w:sz="8" w:space="0" w:color="auto"/>
              <w:right w:val="single" w:sz="8" w:space="0" w:color="auto"/>
            </w:tcBorders>
            <w:shd w:val="clear" w:color="000000" w:fill="FFFF00"/>
            <w:hideMark/>
          </w:tcPr>
          <w:p w14:paraId="5907E296" w14:textId="6A7F17DE" w:rsidR="00BA7A2B" w:rsidRPr="006517AE" w:rsidRDefault="000C15D5"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1.0</w:t>
            </w:r>
          </w:p>
        </w:tc>
        <w:tc>
          <w:tcPr>
            <w:tcW w:w="850" w:type="dxa"/>
            <w:tcBorders>
              <w:top w:val="nil"/>
              <w:left w:val="nil"/>
              <w:bottom w:val="single" w:sz="8" w:space="0" w:color="auto"/>
              <w:right w:val="single" w:sz="8" w:space="0" w:color="auto"/>
            </w:tcBorders>
            <w:shd w:val="clear" w:color="auto" w:fill="auto"/>
            <w:hideMark/>
          </w:tcPr>
          <w:p w14:paraId="1E8C7D9E" w14:textId="1D31411B" w:rsidR="00BA7A2B" w:rsidRPr="006517AE" w:rsidRDefault="00E01B5E"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163.14</w:t>
            </w:r>
          </w:p>
        </w:tc>
        <w:tc>
          <w:tcPr>
            <w:tcW w:w="851" w:type="dxa"/>
            <w:tcBorders>
              <w:top w:val="nil"/>
              <w:left w:val="nil"/>
              <w:bottom w:val="single" w:sz="8" w:space="0" w:color="auto"/>
              <w:right w:val="single" w:sz="8" w:space="0" w:color="auto"/>
            </w:tcBorders>
            <w:shd w:val="clear" w:color="auto" w:fill="auto"/>
            <w:hideMark/>
          </w:tcPr>
          <w:p w14:paraId="0EBBEA2C" w14:textId="35A2FD82" w:rsidR="00BA7A2B" w:rsidRPr="006517AE" w:rsidRDefault="00E01B5E"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33.54</w:t>
            </w:r>
          </w:p>
        </w:tc>
        <w:tc>
          <w:tcPr>
            <w:tcW w:w="819" w:type="dxa"/>
            <w:tcBorders>
              <w:top w:val="nil"/>
              <w:left w:val="nil"/>
              <w:bottom w:val="single" w:sz="8" w:space="0" w:color="auto"/>
              <w:right w:val="single" w:sz="8" w:space="0" w:color="auto"/>
            </w:tcBorders>
            <w:shd w:val="clear" w:color="000000" w:fill="FFFF00"/>
            <w:hideMark/>
          </w:tcPr>
          <w:p w14:paraId="5A13504E" w14:textId="77EE7B2E" w:rsidR="00BA7A2B" w:rsidRPr="006517AE" w:rsidRDefault="00E01B5E"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129.60</w:t>
            </w:r>
          </w:p>
        </w:tc>
      </w:tr>
      <w:tr w:rsidR="00D93FFB" w:rsidRPr="006517AE" w14:paraId="621F08EA" w14:textId="77777777" w:rsidTr="00664CBF">
        <w:trPr>
          <w:trHeight w:val="321"/>
        </w:trPr>
        <w:tc>
          <w:tcPr>
            <w:tcW w:w="1276" w:type="dxa"/>
            <w:tcBorders>
              <w:top w:val="nil"/>
              <w:left w:val="single" w:sz="8" w:space="0" w:color="auto"/>
              <w:bottom w:val="single" w:sz="8" w:space="0" w:color="auto"/>
              <w:right w:val="single" w:sz="8" w:space="0" w:color="auto"/>
            </w:tcBorders>
            <w:shd w:val="clear" w:color="auto" w:fill="auto"/>
            <w:hideMark/>
          </w:tcPr>
          <w:p w14:paraId="46AA345E"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Revenue from operations</w:t>
            </w:r>
          </w:p>
        </w:tc>
        <w:tc>
          <w:tcPr>
            <w:tcW w:w="896" w:type="dxa"/>
            <w:tcBorders>
              <w:top w:val="nil"/>
              <w:left w:val="nil"/>
              <w:bottom w:val="single" w:sz="8" w:space="0" w:color="auto"/>
              <w:right w:val="single" w:sz="8" w:space="0" w:color="auto"/>
            </w:tcBorders>
            <w:shd w:val="clear" w:color="auto" w:fill="auto"/>
            <w:noWrap/>
            <w:hideMark/>
          </w:tcPr>
          <w:p w14:paraId="0AA7D69D"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58.68</w:t>
            </w:r>
          </w:p>
        </w:tc>
        <w:tc>
          <w:tcPr>
            <w:tcW w:w="842" w:type="dxa"/>
            <w:tcBorders>
              <w:top w:val="nil"/>
              <w:left w:val="nil"/>
              <w:bottom w:val="single" w:sz="8" w:space="0" w:color="auto"/>
              <w:right w:val="single" w:sz="8" w:space="0" w:color="auto"/>
            </w:tcBorders>
            <w:shd w:val="clear" w:color="auto" w:fill="auto"/>
            <w:hideMark/>
          </w:tcPr>
          <w:p w14:paraId="63E0FE0E"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 </w:t>
            </w:r>
          </w:p>
        </w:tc>
        <w:tc>
          <w:tcPr>
            <w:tcW w:w="891" w:type="dxa"/>
            <w:tcBorders>
              <w:top w:val="nil"/>
              <w:left w:val="nil"/>
              <w:bottom w:val="single" w:sz="8" w:space="0" w:color="auto"/>
              <w:right w:val="single" w:sz="8" w:space="0" w:color="auto"/>
            </w:tcBorders>
            <w:shd w:val="clear" w:color="000000" w:fill="FFFF00"/>
            <w:hideMark/>
          </w:tcPr>
          <w:p w14:paraId="497F41B1"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 </w:t>
            </w:r>
          </w:p>
        </w:tc>
        <w:tc>
          <w:tcPr>
            <w:tcW w:w="883" w:type="dxa"/>
            <w:tcBorders>
              <w:top w:val="nil"/>
              <w:left w:val="nil"/>
              <w:bottom w:val="single" w:sz="8" w:space="0" w:color="auto"/>
              <w:right w:val="single" w:sz="8" w:space="0" w:color="auto"/>
            </w:tcBorders>
            <w:shd w:val="clear" w:color="auto" w:fill="auto"/>
            <w:hideMark/>
          </w:tcPr>
          <w:p w14:paraId="3207FEA4"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19.78</w:t>
            </w:r>
          </w:p>
        </w:tc>
        <w:tc>
          <w:tcPr>
            <w:tcW w:w="887" w:type="dxa"/>
            <w:tcBorders>
              <w:top w:val="nil"/>
              <w:left w:val="nil"/>
              <w:bottom w:val="single" w:sz="8" w:space="0" w:color="auto"/>
              <w:right w:val="single" w:sz="8" w:space="0" w:color="auto"/>
            </w:tcBorders>
            <w:shd w:val="clear" w:color="auto" w:fill="auto"/>
            <w:hideMark/>
          </w:tcPr>
          <w:p w14:paraId="77C09D29"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 </w:t>
            </w:r>
          </w:p>
        </w:tc>
        <w:tc>
          <w:tcPr>
            <w:tcW w:w="740" w:type="dxa"/>
            <w:tcBorders>
              <w:top w:val="nil"/>
              <w:left w:val="nil"/>
              <w:bottom w:val="single" w:sz="8" w:space="0" w:color="auto"/>
              <w:right w:val="single" w:sz="8" w:space="0" w:color="auto"/>
            </w:tcBorders>
            <w:shd w:val="clear" w:color="000000" w:fill="FFFF00"/>
            <w:hideMark/>
          </w:tcPr>
          <w:p w14:paraId="335A27F4"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 </w:t>
            </w:r>
          </w:p>
        </w:tc>
        <w:tc>
          <w:tcPr>
            <w:tcW w:w="739" w:type="dxa"/>
            <w:tcBorders>
              <w:top w:val="nil"/>
              <w:left w:val="nil"/>
              <w:bottom w:val="single" w:sz="8" w:space="0" w:color="auto"/>
              <w:right w:val="single" w:sz="8" w:space="0" w:color="auto"/>
            </w:tcBorders>
            <w:shd w:val="clear" w:color="auto" w:fill="auto"/>
            <w:hideMark/>
          </w:tcPr>
          <w:p w14:paraId="24BB916F"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0.5</w:t>
            </w:r>
          </w:p>
        </w:tc>
        <w:tc>
          <w:tcPr>
            <w:tcW w:w="740" w:type="dxa"/>
            <w:tcBorders>
              <w:top w:val="nil"/>
              <w:left w:val="nil"/>
              <w:bottom w:val="single" w:sz="8" w:space="0" w:color="auto"/>
              <w:right w:val="single" w:sz="8" w:space="0" w:color="auto"/>
            </w:tcBorders>
            <w:shd w:val="clear" w:color="auto" w:fill="auto"/>
            <w:hideMark/>
          </w:tcPr>
          <w:p w14:paraId="4AC72857"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 </w:t>
            </w:r>
          </w:p>
        </w:tc>
        <w:tc>
          <w:tcPr>
            <w:tcW w:w="612" w:type="dxa"/>
            <w:tcBorders>
              <w:top w:val="nil"/>
              <w:left w:val="nil"/>
              <w:bottom w:val="single" w:sz="8" w:space="0" w:color="auto"/>
              <w:right w:val="single" w:sz="8" w:space="0" w:color="auto"/>
            </w:tcBorders>
            <w:shd w:val="clear" w:color="000000" w:fill="FFFF00"/>
            <w:hideMark/>
          </w:tcPr>
          <w:p w14:paraId="5563635A"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 </w:t>
            </w:r>
          </w:p>
        </w:tc>
        <w:tc>
          <w:tcPr>
            <w:tcW w:w="850" w:type="dxa"/>
            <w:tcBorders>
              <w:top w:val="nil"/>
              <w:left w:val="nil"/>
              <w:bottom w:val="single" w:sz="8" w:space="0" w:color="auto"/>
              <w:right w:val="single" w:sz="8" w:space="0" w:color="auto"/>
            </w:tcBorders>
            <w:shd w:val="clear" w:color="auto" w:fill="auto"/>
            <w:hideMark/>
          </w:tcPr>
          <w:p w14:paraId="60E7540D"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95.88</w:t>
            </w:r>
          </w:p>
        </w:tc>
        <w:tc>
          <w:tcPr>
            <w:tcW w:w="851" w:type="dxa"/>
            <w:tcBorders>
              <w:top w:val="nil"/>
              <w:left w:val="nil"/>
              <w:bottom w:val="single" w:sz="8" w:space="0" w:color="auto"/>
              <w:right w:val="single" w:sz="8" w:space="0" w:color="auto"/>
            </w:tcBorders>
            <w:shd w:val="clear" w:color="auto" w:fill="auto"/>
            <w:hideMark/>
          </w:tcPr>
          <w:p w14:paraId="25906731"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val="en-IN" w:eastAsia="en-IN"/>
              </w:rPr>
              <w:t> </w:t>
            </w:r>
          </w:p>
        </w:tc>
        <w:tc>
          <w:tcPr>
            <w:tcW w:w="819" w:type="dxa"/>
            <w:tcBorders>
              <w:top w:val="nil"/>
              <w:left w:val="nil"/>
              <w:bottom w:val="single" w:sz="8" w:space="0" w:color="auto"/>
              <w:right w:val="single" w:sz="8" w:space="0" w:color="auto"/>
            </w:tcBorders>
            <w:shd w:val="clear" w:color="000000" w:fill="FFFF00"/>
            <w:hideMark/>
          </w:tcPr>
          <w:p w14:paraId="2FD38EEE" w14:textId="77777777" w:rsidR="00BA7A2B" w:rsidRPr="006517AE" w:rsidRDefault="00BA7A2B" w:rsidP="00D93FFB">
            <w:pPr>
              <w:spacing w:after="0" w:line="240" w:lineRule="auto"/>
              <w:rPr>
                <w:rFonts w:asciiTheme="majorHAnsi" w:eastAsia="Times New Roman" w:hAnsiTheme="majorHAnsi" w:cs="Times New Roman"/>
                <w:color w:val="000000"/>
                <w:sz w:val="18"/>
                <w:szCs w:val="18"/>
                <w:lang w:val="en-IN" w:eastAsia="en-IN"/>
              </w:rPr>
            </w:pPr>
            <w:r w:rsidRPr="006517AE">
              <w:rPr>
                <w:rFonts w:asciiTheme="majorHAnsi" w:eastAsia="Times New Roman" w:hAnsiTheme="majorHAnsi" w:cs="Times New Roman"/>
                <w:color w:val="000000"/>
                <w:sz w:val="18"/>
                <w:szCs w:val="18"/>
                <w:lang w:eastAsia="en-IN"/>
              </w:rPr>
              <w:t> </w:t>
            </w:r>
          </w:p>
        </w:tc>
      </w:tr>
      <w:tr w:rsidR="00D93FFB" w:rsidRPr="006517AE" w14:paraId="3C69019C" w14:textId="77777777" w:rsidTr="00664CBF">
        <w:trPr>
          <w:trHeight w:val="238"/>
        </w:trPr>
        <w:tc>
          <w:tcPr>
            <w:tcW w:w="1276" w:type="dxa"/>
            <w:tcBorders>
              <w:top w:val="nil"/>
              <w:left w:val="single" w:sz="8" w:space="0" w:color="auto"/>
              <w:bottom w:val="single" w:sz="8" w:space="0" w:color="auto"/>
              <w:right w:val="single" w:sz="8" w:space="0" w:color="auto"/>
            </w:tcBorders>
            <w:shd w:val="clear" w:color="auto" w:fill="auto"/>
            <w:hideMark/>
          </w:tcPr>
          <w:p w14:paraId="5BA5EBA6"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Gap (surplus)</w:t>
            </w:r>
          </w:p>
        </w:tc>
        <w:tc>
          <w:tcPr>
            <w:tcW w:w="896" w:type="dxa"/>
            <w:tcBorders>
              <w:top w:val="nil"/>
              <w:left w:val="nil"/>
              <w:bottom w:val="single" w:sz="8" w:space="0" w:color="auto"/>
              <w:right w:val="single" w:sz="8" w:space="0" w:color="auto"/>
            </w:tcBorders>
            <w:shd w:val="clear" w:color="auto" w:fill="auto"/>
            <w:noWrap/>
            <w:hideMark/>
          </w:tcPr>
          <w:p w14:paraId="074E15B3"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144.1</w:t>
            </w:r>
          </w:p>
        </w:tc>
        <w:tc>
          <w:tcPr>
            <w:tcW w:w="842" w:type="dxa"/>
            <w:tcBorders>
              <w:top w:val="nil"/>
              <w:left w:val="nil"/>
              <w:bottom w:val="single" w:sz="8" w:space="0" w:color="auto"/>
              <w:right w:val="single" w:sz="8" w:space="0" w:color="auto"/>
            </w:tcBorders>
            <w:shd w:val="clear" w:color="auto" w:fill="auto"/>
            <w:hideMark/>
          </w:tcPr>
          <w:p w14:paraId="59A33810" w14:textId="1146ADAA" w:rsidR="00BA7A2B" w:rsidRPr="006517AE" w:rsidRDefault="00D93FF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107.52</w:t>
            </w:r>
          </w:p>
        </w:tc>
        <w:tc>
          <w:tcPr>
            <w:tcW w:w="891" w:type="dxa"/>
            <w:tcBorders>
              <w:top w:val="nil"/>
              <w:left w:val="nil"/>
              <w:bottom w:val="single" w:sz="8" w:space="0" w:color="auto"/>
              <w:right w:val="single" w:sz="8" w:space="0" w:color="auto"/>
            </w:tcBorders>
            <w:shd w:val="clear" w:color="000000" w:fill="FFFF00"/>
            <w:hideMark/>
          </w:tcPr>
          <w:p w14:paraId="65AA94F4" w14:textId="77777777" w:rsidR="00BA7A2B" w:rsidRPr="006517AE" w:rsidRDefault="00D93FF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36.58</w:t>
            </w:r>
          </w:p>
        </w:tc>
        <w:tc>
          <w:tcPr>
            <w:tcW w:w="883" w:type="dxa"/>
            <w:tcBorders>
              <w:top w:val="nil"/>
              <w:left w:val="nil"/>
              <w:bottom w:val="single" w:sz="8" w:space="0" w:color="auto"/>
              <w:right w:val="single" w:sz="8" w:space="0" w:color="auto"/>
            </w:tcBorders>
            <w:shd w:val="clear" w:color="auto" w:fill="auto"/>
            <w:hideMark/>
          </w:tcPr>
          <w:p w14:paraId="5C2137FF"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81.27</w:t>
            </w:r>
          </w:p>
        </w:tc>
        <w:tc>
          <w:tcPr>
            <w:tcW w:w="887" w:type="dxa"/>
            <w:tcBorders>
              <w:top w:val="nil"/>
              <w:left w:val="nil"/>
              <w:bottom w:val="single" w:sz="8" w:space="0" w:color="auto"/>
              <w:right w:val="single" w:sz="8" w:space="0" w:color="auto"/>
            </w:tcBorders>
            <w:shd w:val="clear" w:color="auto" w:fill="auto"/>
            <w:hideMark/>
          </w:tcPr>
          <w:p w14:paraId="016E05EF" w14:textId="77777777" w:rsidR="00BA7A2B" w:rsidRPr="006517AE" w:rsidRDefault="00BA7A2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 </w:t>
            </w:r>
            <w:r w:rsidR="00D93FFB" w:rsidRPr="006517AE">
              <w:rPr>
                <w:rFonts w:asciiTheme="majorHAnsi" w:eastAsia="Times New Roman" w:hAnsiTheme="majorHAnsi" w:cs="Times New Roman"/>
                <w:b/>
                <w:bCs/>
                <w:color w:val="000000"/>
                <w:sz w:val="18"/>
                <w:szCs w:val="18"/>
                <w:lang w:val="en-IN" w:eastAsia="en-IN"/>
              </w:rPr>
              <w:t>75.09</w:t>
            </w:r>
          </w:p>
        </w:tc>
        <w:tc>
          <w:tcPr>
            <w:tcW w:w="740" w:type="dxa"/>
            <w:tcBorders>
              <w:top w:val="nil"/>
              <w:left w:val="nil"/>
              <w:bottom w:val="single" w:sz="8" w:space="0" w:color="auto"/>
              <w:right w:val="single" w:sz="8" w:space="0" w:color="auto"/>
            </w:tcBorders>
            <w:shd w:val="clear" w:color="000000" w:fill="FFFF00"/>
            <w:hideMark/>
          </w:tcPr>
          <w:p w14:paraId="74E6628F" w14:textId="77777777" w:rsidR="00BA7A2B" w:rsidRPr="006517AE" w:rsidRDefault="00D93FF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6.18</w:t>
            </w:r>
          </w:p>
        </w:tc>
        <w:tc>
          <w:tcPr>
            <w:tcW w:w="739" w:type="dxa"/>
            <w:tcBorders>
              <w:top w:val="nil"/>
              <w:left w:val="nil"/>
              <w:bottom w:val="single" w:sz="8" w:space="0" w:color="auto"/>
              <w:right w:val="single" w:sz="8" w:space="0" w:color="auto"/>
            </w:tcBorders>
            <w:shd w:val="clear" w:color="auto" w:fill="auto"/>
            <w:hideMark/>
          </w:tcPr>
          <w:p w14:paraId="456005C1" w14:textId="4BC2EDB8" w:rsidR="00BA7A2B" w:rsidRPr="006517AE" w:rsidRDefault="000C15D5"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2.36</w:t>
            </w:r>
          </w:p>
        </w:tc>
        <w:tc>
          <w:tcPr>
            <w:tcW w:w="740" w:type="dxa"/>
            <w:tcBorders>
              <w:top w:val="nil"/>
              <w:left w:val="nil"/>
              <w:bottom w:val="single" w:sz="8" w:space="0" w:color="auto"/>
              <w:right w:val="single" w:sz="8" w:space="0" w:color="auto"/>
            </w:tcBorders>
            <w:shd w:val="clear" w:color="auto" w:fill="auto"/>
            <w:hideMark/>
          </w:tcPr>
          <w:p w14:paraId="0FC9A198" w14:textId="77777777" w:rsidR="00BA7A2B" w:rsidRPr="006517AE" w:rsidRDefault="00D93FFB"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1.36</w:t>
            </w:r>
            <w:r w:rsidR="00BA7A2B" w:rsidRPr="006517AE">
              <w:rPr>
                <w:rFonts w:asciiTheme="majorHAnsi" w:eastAsia="Times New Roman" w:hAnsiTheme="majorHAnsi" w:cs="Times New Roman"/>
                <w:b/>
                <w:bCs/>
                <w:color w:val="000000"/>
                <w:sz w:val="18"/>
                <w:szCs w:val="18"/>
                <w:lang w:val="en-IN" w:eastAsia="en-IN"/>
              </w:rPr>
              <w:t> </w:t>
            </w:r>
          </w:p>
        </w:tc>
        <w:tc>
          <w:tcPr>
            <w:tcW w:w="612" w:type="dxa"/>
            <w:tcBorders>
              <w:top w:val="nil"/>
              <w:left w:val="nil"/>
              <w:bottom w:val="single" w:sz="8" w:space="0" w:color="auto"/>
              <w:right w:val="single" w:sz="8" w:space="0" w:color="auto"/>
            </w:tcBorders>
            <w:shd w:val="clear" w:color="000000" w:fill="FFFF00"/>
            <w:hideMark/>
          </w:tcPr>
          <w:p w14:paraId="45490DF3" w14:textId="261318E3" w:rsidR="00BA7A2B" w:rsidRPr="006517AE" w:rsidRDefault="000C15D5" w:rsidP="000C15D5">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1.0</w:t>
            </w:r>
          </w:p>
        </w:tc>
        <w:tc>
          <w:tcPr>
            <w:tcW w:w="850" w:type="dxa"/>
            <w:tcBorders>
              <w:top w:val="nil"/>
              <w:left w:val="nil"/>
              <w:bottom w:val="single" w:sz="8" w:space="0" w:color="auto"/>
              <w:right w:val="single" w:sz="8" w:space="0" w:color="auto"/>
            </w:tcBorders>
            <w:shd w:val="clear" w:color="auto" w:fill="auto"/>
            <w:hideMark/>
          </w:tcPr>
          <w:p w14:paraId="1EA8F2EE" w14:textId="641BB784" w:rsidR="00BA7A2B" w:rsidRPr="006517AE" w:rsidRDefault="00E01B5E" w:rsidP="00D93FFB">
            <w:pPr>
              <w:spacing w:after="0" w:line="240" w:lineRule="auto"/>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67.26</w:t>
            </w:r>
          </w:p>
        </w:tc>
        <w:tc>
          <w:tcPr>
            <w:tcW w:w="851" w:type="dxa"/>
            <w:tcBorders>
              <w:top w:val="nil"/>
              <w:left w:val="nil"/>
              <w:bottom w:val="single" w:sz="8" w:space="0" w:color="auto"/>
              <w:right w:val="single" w:sz="8" w:space="0" w:color="auto"/>
            </w:tcBorders>
            <w:shd w:val="clear" w:color="auto" w:fill="auto"/>
            <w:hideMark/>
          </w:tcPr>
          <w:p w14:paraId="527C4B28" w14:textId="698F6979" w:rsidR="00BA7A2B" w:rsidRPr="006517AE" w:rsidRDefault="00486750" w:rsidP="00E01B5E">
            <w:pPr>
              <w:spacing w:after="0" w:line="240" w:lineRule="auto"/>
              <w:ind w:left="-43"/>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val="en-IN" w:eastAsia="en-IN"/>
              </w:rPr>
              <w:t>(</w:t>
            </w:r>
            <w:r w:rsidR="00E01B5E" w:rsidRPr="006517AE">
              <w:rPr>
                <w:rFonts w:asciiTheme="majorHAnsi" w:eastAsia="Times New Roman" w:hAnsiTheme="majorHAnsi" w:cs="Times New Roman"/>
                <w:b/>
                <w:bCs/>
                <w:color w:val="000000"/>
                <w:sz w:val="18"/>
                <w:szCs w:val="18"/>
                <w:lang w:val="en-IN" w:eastAsia="en-IN"/>
              </w:rPr>
              <w:t>61.34</w:t>
            </w:r>
            <w:r w:rsidRPr="006517AE">
              <w:rPr>
                <w:rFonts w:asciiTheme="majorHAnsi" w:eastAsia="Times New Roman" w:hAnsiTheme="majorHAnsi" w:cs="Times New Roman"/>
                <w:b/>
                <w:bCs/>
                <w:color w:val="000000"/>
                <w:sz w:val="18"/>
                <w:szCs w:val="18"/>
                <w:lang w:val="en-IN" w:eastAsia="en-IN"/>
              </w:rPr>
              <w:t>)</w:t>
            </w:r>
          </w:p>
        </w:tc>
        <w:tc>
          <w:tcPr>
            <w:tcW w:w="819" w:type="dxa"/>
            <w:tcBorders>
              <w:top w:val="nil"/>
              <w:left w:val="nil"/>
              <w:bottom w:val="single" w:sz="8" w:space="0" w:color="auto"/>
              <w:right w:val="single" w:sz="8" w:space="0" w:color="auto"/>
            </w:tcBorders>
            <w:shd w:val="clear" w:color="000000" w:fill="FFFF00"/>
            <w:hideMark/>
          </w:tcPr>
          <w:p w14:paraId="055C2E4D" w14:textId="2A6AC5A6" w:rsidR="00BA7A2B" w:rsidRPr="006517AE" w:rsidRDefault="00E01B5E" w:rsidP="00B34ADF">
            <w:pPr>
              <w:spacing w:after="0" w:line="240" w:lineRule="auto"/>
              <w:ind w:left="-43"/>
              <w:rPr>
                <w:rFonts w:asciiTheme="majorHAnsi" w:eastAsia="Times New Roman" w:hAnsiTheme="majorHAnsi" w:cs="Times New Roman"/>
                <w:b/>
                <w:bCs/>
                <w:color w:val="000000"/>
                <w:sz w:val="18"/>
                <w:szCs w:val="18"/>
                <w:lang w:val="en-IN" w:eastAsia="en-IN"/>
              </w:rPr>
            </w:pPr>
            <w:r w:rsidRPr="006517AE">
              <w:rPr>
                <w:rFonts w:asciiTheme="majorHAnsi" w:eastAsia="Times New Roman" w:hAnsiTheme="majorHAnsi" w:cs="Times New Roman"/>
                <w:b/>
                <w:bCs/>
                <w:color w:val="000000"/>
                <w:sz w:val="18"/>
                <w:szCs w:val="18"/>
                <w:lang w:eastAsia="en-IN"/>
              </w:rPr>
              <w:t>4.92</w:t>
            </w:r>
          </w:p>
        </w:tc>
      </w:tr>
    </w:tbl>
    <w:p w14:paraId="73A52501" w14:textId="77777777" w:rsidR="00664CBF" w:rsidRDefault="00664CBF" w:rsidP="00F12881">
      <w:pPr>
        <w:pStyle w:val="Style3"/>
      </w:pPr>
    </w:p>
    <w:p w14:paraId="0BC0C681" w14:textId="218998B1" w:rsidR="00F446FC" w:rsidRPr="008675CA" w:rsidRDefault="00F446FC" w:rsidP="00F12881">
      <w:pPr>
        <w:pStyle w:val="Style3"/>
      </w:pPr>
      <w:r w:rsidRPr="008675CA">
        <w:t xml:space="preserve">MePGCL request the Hon’ble Commission to kindly </w:t>
      </w:r>
      <w:r w:rsidR="00AF1E9C" w:rsidRPr="008675CA">
        <w:t xml:space="preserve">review the </w:t>
      </w:r>
      <w:r w:rsidR="00664CBF">
        <w:t xml:space="preserve">additional </w:t>
      </w:r>
      <w:r w:rsidR="00AF1E9C" w:rsidRPr="008675CA">
        <w:t>gap of MLHEP, NUHEP, Lakroh and Old stations including Sonapani  a</w:t>
      </w:r>
      <w:r w:rsidR="00080981" w:rsidRPr="008675CA">
        <w:t xml:space="preserve">t Rs. </w:t>
      </w:r>
      <w:r w:rsidR="003E31B8">
        <w:t>36.58</w:t>
      </w:r>
      <w:r w:rsidR="00080981" w:rsidRPr="008675CA">
        <w:t xml:space="preserve"> Cr., Rs. </w:t>
      </w:r>
      <w:r w:rsidR="003E31B8">
        <w:t xml:space="preserve">6.18 </w:t>
      </w:r>
      <w:r w:rsidR="00080981" w:rsidRPr="008675CA">
        <w:t>Cr.</w:t>
      </w:r>
      <w:r w:rsidR="00AF1E9C" w:rsidRPr="008675CA">
        <w:t xml:space="preserve">, Rs. </w:t>
      </w:r>
      <w:r w:rsidR="003E31B8">
        <w:t>1.0</w:t>
      </w:r>
      <w:r w:rsidR="00AF1E9C" w:rsidRPr="008675CA">
        <w:t xml:space="preserve"> Cr. and Rs. </w:t>
      </w:r>
      <w:r w:rsidR="00E01B5E">
        <w:t>4.92</w:t>
      </w:r>
      <w:r w:rsidR="00AF1E9C" w:rsidRPr="008675CA">
        <w:t xml:space="preserve"> Cr. respectively</w:t>
      </w:r>
      <w:r w:rsidR="00BA7A2B" w:rsidRPr="008675CA">
        <w:t>,</w:t>
      </w:r>
      <w:r w:rsidR="00AF1E9C" w:rsidRPr="008675CA">
        <w:t xml:space="preserve"> to be adjusted in the </w:t>
      </w:r>
      <w:r w:rsidR="00D93FFB">
        <w:t>review petition of tariff for FY 2023-24</w:t>
      </w:r>
      <w:r w:rsidR="00080981" w:rsidRPr="008675CA">
        <w:t>.</w:t>
      </w:r>
      <w:r w:rsidRPr="008675CA">
        <w:t xml:space="preserve"> </w:t>
      </w:r>
    </w:p>
    <w:p w14:paraId="7D8C0B2A" w14:textId="77777777" w:rsidR="00F446FC" w:rsidRDefault="00F446FC" w:rsidP="00F12881">
      <w:pPr>
        <w:pStyle w:val="Style3"/>
      </w:pPr>
    </w:p>
    <w:p w14:paraId="7BF72FC9" w14:textId="77777777" w:rsidR="005C2836" w:rsidRPr="008675CA" w:rsidRDefault="00DA77FC" w:rsidP="00DA77FC">
      <w:pPr>
        <w:jc w:val="both"/>
        <w:rPr>
          <w:rFonts w:asciiTheme="majorHAnsi" w:hAnsiTheme="majorHAnsi"/>
        </w:rPr>
      </w:pPr>
      <w:r w:rsidRPr="008675CA">
        <w:rPr>
          <w:rFonts w:asciiTheme="majorHAnsi" w:hAnsiTheme="majorHAnsi"/>
        </w:rPr>
        <w:t>The MePGCL has raised</w:t>
      </w:r>
      <w:r w:rsidR="000F5102" w:rsidRPr="008675CA">
        <w:rPr>
          <w:rFonts w:asciiTheme="majorHAnsi" w:hAnsiTheme="majorHAnsi"/>
        </w:rPr>
        <w:t xml:space="preserve"> the</w:t>
      </w:r>
      <w:r w:rsidRPr="008675CA">
        <w:rPr>
          <w:rFonts w:asciiTheme="majorHAnsi" w:hAnsiTheme="majorHAnsi"/>
        </w:rPr>
        <w:t xml:space="preserve"> </w:t>
      </w:r>
      <w:r w:rsidR="000F5102" w:rsidRPr="008675CA">
        <w:rPr>
          <w:rFonts w:asciiTheme="majorHAnsi" w:hAnsiTheme="majorHAnsi"/>
        </w:rPr>
        <w:t xml:space="preserve">revenue </w:t>
      </w:r>
      <w:r w:rsidRPr="008675CA">
        <w:rPr>
          <w:rFonts w:asciiTheme="majorHAnsi" w:hAnsiTheme="majorHAnsi"/>
        </w:rPr>
        <w:t xml:space="preserve">of </w:t>
      </w:r>
      <w:r w:rsidR="00CF097D" w:rsidRPr="008675CA">
        <w:rPr>
          <w:rFonts w:asciiTheme="majorHAnsi" w:hAnsiTheme="majorHAnsi"/>
        </w:rPr>
        <w:t>Rs.</w:t>
      </w:r>
      <w:r w:rsidR="000F5102" w:rsidRPr="008675CA">
        <w:rPr>
          <w:rFonts w:asciiTheme="majorHAnsi" w:hAnsiTheme="majorHAnsi"/>
        </w:rPr>
        <w:t xml:space="preserve">257.13 </w:t>
      </w:r>
      <w:r w:rsidRPr="008675CA">
        <w:rPr>
          <w:rFonts w:asciiTheme="majorHAnsi" w:hAnsiTheme="majorHAnsi"/>
        </w:rPr>
        <w:t xml:space="preserve">Crore </w:t>
      </w:r>
      <w:r w:rsidR="000F5102" w:rsidRPr="008675CA">
        <w:rPr>
          <w:rFonts w:asciiTheme="majorHAnsi" w:hAnsiTheme="majorHAnsi"/>
        </w:rPr>
        <w:t xml:space="preserve">for FY 2020-21 as per SOA at Note 24 this includes of Rs. 82.26 Crore which is the balance amount which was already considered by the Hon’ble Commission in FY 2017-18. The revenue from operation for FY 2020-21 is Rs. 174.87 </w:t>
      </w:r>
      <w:r w:rsidR="005C2836" w:rsidRPr="008675CA">
        <w:rPr>
          <w:rFonts w:asciiTheme="majorHAnsi" w:hAnsiTheme="majorHAnsi"/>
        </w:rPr>
        <w:t>Crore;</w:t>
      </w:r>
      <w:r w:rsidR="000F5102" w:rsidRPr="008675CA">
        <w:rPr>
          <w:rFonts w:asciiTheme="majorHAnsi" w:hAnsiTheme="majorHAnsi"/>
        </w:rPr>
        <w:t xml:space="preserve"> this is as per the Power purchase Bill submitted to MePDCL (page 58 of the order)</w:t>
      </w:r>
      <w:r w:rsidR="005C2836" w:rsidRPr="008675CA">
        <w:rPr>
          <w:rFonts w:asciiTheme="majorHAnsi" w:hAnsiTheme="majorHAnsi"/>
        </w:rPr>
        <w:t xml:space="preserve">. </w:t>
      </w:r>
    </w:p>
    <w:p w14:paraId="54F11BAB" w14:textId="77777777" w:rsidR="005C2836" w:rsidRPr="008675CA" w:rsidRDefault="005C2836" w:rsidP="00DA77FC">
      <w:pPr>
        <w:jc w:val="both"/>
        <w:rPr>
          <w:rFonts w:asciiTheme="majorHAnsi" w:hAnsiTheme="majorHAnsi"/>
        </w:rPr>
      </w:pPr>
      <w:r w:rsidRPr="008675CA">
        <w:rPr>
          <w:rFonts w:asciiTheme="majorHAnsi" w:hAnsiTheme="majorHAnsi"/>
        </w:rPr>
        <w:t xml:space="preserve">The revenue considered by the Hon’ble Commission at Rs. 257.13 crore in the order is not correct and this cause double deduction from the ARR. </w:t>
      </w:r>
      <w:r w:rsidR="00A71FB4" w:rsidRPr="008675CA">
        <w:rPr>
          <w:rFonts w:asciiTheme="majorHAnsi" w:hAnsiTheme="majorHAnsi"/>
        </w:rPr>
        <w:t xml:space="preserve">And, this will cause deduction in the tariff of old stations. </w:t>
      </w:r>
      <w:r w:rsidRPr="008675CA">
        <w:rPr>
          <w:rFonts w:asciiTheme="majorHAnsi" w:hAnsiTheme="majorHAnsi"/>
        </w:rPr>
        <w:t>Therefore, this has to be review and adjusted in the tariff for FY 2024-25.</w:t>
      </w:r>
    </w:p>
    <w:p w14:paraId="55F2E55A" w14:textId="1FF476B6" w:rsidR="00EF2EA1" w:rsidRDefault="00EF2EA1" w:rsidP="00DA77FC">
      <w:pPr>
        <w:jc w:val="both"/>
        <w:rPr>
          <w:rFonts w:asciiTheme="majorHAnsi" w:hAnsiTheme="majorHAnsi"/>
          <w:b/>
        </w:rPr>
      </w:pPr>
      <w:r w:rsidRPr="00EF2EA1">
        <w:rPr>
          <w:rFonts w:asciiTheme="majorHAnsi" w:hAnsiTheme="majorHAnsi"/>
          <w:b/>
        </w:rPr>
        <w:t>The total revenue from operation for FY 2020-21 of MePGCL is Rs. 174.85 Cr.</w:t>
      </w:r>
      <w:r>
        <w:rPr>
          <w:rFonts w:asciiTheme="majorHAnsi" w:hAnsiTheme="majorHAnsi"/>
          <w:b/>
        </w:rPr>
        <w:t xml:space="preserve">, </w:t>
      </w:r>
      <w:r w:rsidRPr="00EF2EA1">
        <w:rPr>
          <w:rFonts w:asciiTheme="majorHAnsi" w:hAnsiTheme="majorHAnsi"/>
          <w:b/>
        </w:rPr>
        <w:t xml:space="preserve">mentioned at page 58 of the order. </w:t>
      </w:r>
      <w:r w:rsidR="003406EA" w:rsidRPr="00EF2EA1">
        <w:rPr>
          <w:rFonts w:asciiTheme="majorHAnsi" w:hAnsiTheme="majorHAnsi"/>
          <w:b/>
        </w:rPr>
        <w:t>T</w:t>
      </w:r>
      <w:r w:rsidR="00EA4BFB" w:rsidRPr="00EF2EA1">
        <w:rPr>
          <w:rFonts w:asciiTheme="majorHAnsi" w:hAnsiTheme="majorHAnsi"/>
          <w:b/>
        </w:rPr>
        <w:t>he</w:t>
      </w:r>
      <w:r w:rsidR="003406EA" w:rsidRPr="00EF2EA1">
        <w:rPr>
          <w:rFonts w:asciiTheme="majorHAnsi" w:hAnsiTheme="majorHAnsi"/>
          <w:b/>
        </w:rPr>
        <w:t xml:space="preserve"> revenue from operation from </w:t>
      </w:r>
      <w:r w:rsidR="003406EA" w:rsidRPr="00EF2EA1">
        <w:rPr>
          <w:rFonts w:asciiTheme="majorHAnsi" w:hAnsiTheme="majorHAnsi"/>
          <w:b/>
          <w:i/>
        </w:rPr>
        <w:t>old projects</w:t>
      </w:r>
      <w:r w:rsidR="003406EA" w:rsidRPr="00EF2EA1">
        <w:rPr>
          <w:rFonts w:asciiTheme="majorHAnsi" w:hAnsiTheme="majorHAnsi"/>
          <w:b/>
        </w:rPr>
        <w:t xml:space="preserve"> as mentioned in </w:t>
      </w:r>
      <w:r w:rsidRPr="00EF2EA1">
        <w:rPr>
          <w:rFonts w:asciiTheme="majorHAnsi" w:hAnsiTheme="majorHAnsi"/>
          <w:b/>
        </w:rPr>
        <w:t>table 57</w:t>
      </w:r>
      <w:r w:rsidR="003406EA" w:rsidRPr="00EF2EA1">
        <w:rPr>
          <w:rFonts w:asciiTheme="majorHAnsi" w:hAnsiTheme="majorHAnsi"/>
          <w:b/>
        </w:rPr>
        <w:t xml:space="preserve"> of the order at Rs. 178.16 Crore is </w:t>
      </w:r>
      <w:r w:rsidR="0064770C" w:rsidRPr="00EF2EA1">
        <w:rPr>
          <w:rFonts w:asciiTheme="majorHAnsi" w:hAnsiTheme="majorHAnsi"/>
          <w:b/>
        </w:rPr>
        <w:t>erroneous</w:t>
      </w:r>
      <w:r w:rsidR="00D81CD6" w:rsidRPr="00EF2EA1">
        <w:rPr>
          <w:rFonts w:asciiTheme="majorHAnsi" w:hAnsiTheme="majorHAnsi"/>
          <w:b/>
        </w:rPr>
        <w:t>, since the revenue fro</w:t>
      </w:r>
      <w:r w:rsidR="0064770C" w:rsidRPr="00EF2EA1">
        <w:rPr>
          <w:rFonts w:asciiTheme="majorHAnsi" w:hAnsiTheme="majorHAnsi"/>
          <w:b/>
        </w:rPr>
        <w:t>m old stations is Rs.95.88 Cr.</w:t>
      </w:r>
      <w:r w:rsidRPr="00EF2EA1">
        <w:rPr>
          <w:rFonts w:asciiTheme="majorHAnsi" w:hAnsiTheme="majorHAnsi"/>
          <w:b/>
        </w:rPr>
        <w:t xml:space="preserve"> Therefore, the surplus showing Rs. (144.62) Cr. for old stations has to review and also the total gap of Rs. 39.30Cr. for all stations is erroneous.</w:t>
      </w:r>
    </w:p>
    <w:p w14:paraId="40BF58D8" w14:textId="526FA407" w:rsidR="00EA4BFB" w:rsidRPr="00EF2EA1" w:rsidRDefault="00EF2EA1" w:rsidP="00DA77FC">
      <w:pPr>
        <w:jc w:val="both"/>
        <w:rPr>
          <w:rFonts w:asciiTheme="majorHAnsi" w:hAnsiTheme="majorHAnsi"/>
          <w:b/>
        </w:rPr>
      </w:pPr>
      <w:r w:rsidRPr="00EF2EA1">
        <w:rPr>
          <w:rFonts w:asciiTheme="majorHAnsi" w:hAnsiTheme="majorHAnsi"/>
          <w:b/>
        </w:rPr>
        <w:t>The Hon’ble Commission has availed at this figure of Rs. 178.16 Cr. by adding again the revenue from operation of Rs. 82.26 Cr. which has already been recognized &amp; considered in FY 2017-18.</w:t>
      </w:r>
      <w:r w:rsidR="0064770C" w:rsidRPr="00EF2EA1">
        <w:rPr>
          <w:rFonts w:asciiTheme="majorHAnsi" w:hAnsiTheme="majorHAnsi"/>
          <w:b/>
        </w:rPr>
        <w:t xml:space="preserve"> MePGCL submit the Review on true up order for kind consideration of the Hon’ble Commission. </w:t>
      </w:r>
    </w:p>
    <w:p w14:paraId="07C03BA0" w14:textId="08C6B92E" w:rsidR="00966F51" w:rsidRDefault="00476961" w:rsidP="00DA77FC">
      <w:pPr>
        <w:jc w:val="both"/>
        <w:rPr>
          <w:rFonts w:asciiTheme="majorHAnsi" w:hAnsiTheme="majorHAnsi"/>
        </w:rPr>
      </w:pPr>
      <w:r w:rsidRPr="008675CA">
        <w:rPr>
          <w:rFonts w:asciiTheme="majorHAnsi" w:hAnsiTheme="majorHAnsi"/>
        </w:rPr>
        <w:t>Further, th</w:t>
      </w:r>
      <w:r w:rsidR="00966F51" w:rsidRPr="008675CA">
        <w:rPr>
          <w:rFonts w:asciiTheme="majorHAnsi" w:hAnsiTheme="majorHAnsi"/>
        </w:rPr>
        <w:t xml:space="preserve">e Net Revenue Gap presented in the true up order at Rs. 39.30 Cr for MePGCL for FY 2020-21 adjusted in the tariff order for FY 2023-24 </w:t>
      </w:r>
      <w:r w:rsidR="00966F51" w:rsidRPr="00EF2EA1">
        <w:rPr>
          <w:rFonts w:asciiTheme="majorHAnsi" w:hAnsiTheme="majorHAnsi"/>
          <w:b/>
        </w:rPr>
        <w:t xml:space="preserve">have to </w:t>
      </w:r>
      <w:r w:rsidR="00EF2EA1" w:rsidRPr="00EF2EA1">
        <w:rPr>
          <w:rFonts w:asciiTheme="majorHAnsi" w:hAnsiTheme="majorHAnsi"/>
          <w:b/>
        </w:rPr>
        <w:t xml:space="preserve">be </w:t>
      </w:r>
      <w:r w:rsidR="00966F51" w:rsidRPr="00EF2EA1">
        <w:rPr>
          <w:rFonts w:asciiTheme="majorHAnsi" w:hAnsiTheme="majorHAnsi"/>
          <w:b/>
        </w:rPr>
        <w:t>review</w:t>
      </w:r>
      <w:r w:rsidR="00EF2EA1" w:rsidRPr="00EF2EA1">
        <w:rPr>
          <w:rFonts w:asciiTheme="majorHAnsi" w:hAnsiTheme="majorHAnsi"/>
          <w:b/>
        </w:rPr>
        <w:t>ed</w:t>
      </w:r>
      <w:r w:rsidR="00966F51" w:rsidRPr="00EF2EA1">
        <w:rPr>
          <w:rFonts w:asciiTheme="majorHAnsi" w:hAnsiTheme="majorHAnsi"/>
          <w:b/>
        </w:rPr>
        <w:t xml:space="preserve"> based on facts and actual. Therefore, MePGCL request the Hon’ble Commission to kindly consider the review petition</w:t>
      </w:r>
      <w:r w:rsidR="00966F51" w:rsidRPr="008675CA">
        <w:rPr>
          <w:rFonts w:asciiTheme="majorHAnsi" w:hAnsiTheme="majorHAnsi"/>
        </w:rPr>
        <w:t>.</w:t>
      </w:r>
    </w:p>
    <w:p w14:paraId="5B218448" w14:textId="77777777" w:rsidR="000358E0" w:rsidRPr="008675CA" w:rsidRDefault="000358E0" w:rsidP="00DA77FC">
      <w:pPr>
        <w:jc w:val="both"/>
        <w:rPr>
          <w:rFonts w:asciiTheme="majorHAnsi" w:hAnsiTheme="majorHAnsi"/>
        </w:rPr>
      </w:pPr>
    </w:p>
    <w:p w14:paraId="74BC24D7" w14:textId="77777777" w:rsidR="00DA77FC" w:rsidRPr="008675CA" w:rsidRDefault="00DA77FC" w:rsidP="00DA77FC">
      <w:pPr>
        <w:jc w:val="both"/>
        <w:rPr>
          <w:rFonts w:asciiTheme="majorHAnsi" w:hAnsiTheme="majorHAnsi"/>
        </w:rPr>
      </w:pPr>
      <w:r w:rsidRPr="008675CA">
        <w:rPr>
          <w:rFonts w:asciiTheme="majorHAnsi" w:hAnsiTheme="majorHAnsi"/>
        </w:rPr>
        <w:lastRenderedPageBreak/>
        <w:t xml:space="preserve">The </w:t>
      </w:r>
      <w:r w:rsidR="00A71FB4" w:rsidRPr="008675CA">
        <w:rPr>
          <w:rFonts w:asciiTheme="majorHAnsi" w:hAnsiTheme="majorHAnsi"/>
        </w:rPr>
        <w:t xml:space="preserve">details showing the </w:t>
      </w:r>
      <w:r w:rsidRPr="008675CA">
        <w:rPr>
          <w:rFonts w:asciiTheme="majorHAnsi" w:hAnsiTheme="majorHAnsi"/>
        </w:rPr>
        <w:t>Gap/(Surplus) of each station is shown in the table below:</w:t>
      </w:r>
    </w:p>
    <w:p w14:paraId="70DE4363" w14:textId="2B4AE288" w:rsidR="00DA77FC" w:rsidRPr="008675CA" w:rsidRDefault="00DA77FC" w:rsidP="00DA77FC">
      <w:pPr>
        <w:pStyle w:val="ListParagraph"/>
        <w:ind w:left="360"/>
        <w:jc w:val="center"/>
        <w:rPr>
          <w:rFonts w:asciiTheme="majorHAnsi" w:hAnsiTheme="majorHAnsi"/>
          <w:b/>
          <w:szCs w:val="22"/>
        </w:rPr>
      </w:pPr>
      <w:r w:rsidRPr="008675CA">
        <w:rPr>
          <w:rFonts w:asciiTheme="majorHAnsi" w:hAnsiTheme="majorHAnsi"/>
          <w:b/>
          <w:szCs w:val="22"/>
        </w:rPr>
        <w:t>Table</w:t>
      </w:r>
      <w:r w:rsidR="00081CE5" w:rsidRPr="008675CA">
        <w:rPr>
          <w:rFonts w:asciiTheme="majorHAnsi" w:hAnsiTheme="majorHAnsi"/>
          <w:b/>
          <w:szCs w:val="22"/>
        </w:rPr>
        <w:t xml:space="preserve"> </w:t>
      </w:r>
      <w:r w:rsidR="00104302" w:rsidRPr="008675CA">
        <w:rPr>
          <w:rFonts w:asciiTheme="majorHAnsi" w:hAnsiTheme="majorHAnsi"/>
          <w:b/>
          <w:szCs w:val="22"/>
        </w:rPr>
        <w:t>2</w:t>
      </w:r>
      <w:r w:rsidR="00EF2EA1">
        <w:rPr>
          <w:rFonts w:asciiTheme="majorHAnsi" w:hAnsiTheme="majorHAnsi"/>
          <w:b/>
          <w:szCs w:val="22"/>
        </w:rPr>
        <w:t>7</w:t>
      </w:r>
      <w:r w:rsidRPr="008675CA">
        <w:rPr>
          <w:rFonts w:asciiTheme="majorHAnsi" w:hAnsiTheme="majorHAnsi"/>
          <w:b/>
          <w:szCs w:val="22"/>
        </w:rPr>
        <w:t xml:space="preserve">: Net Gap/(Surplus) for FY </w:t>
      </w:r>
      <w:r w:rsidR="00A71FB4" w:rsidRPr="008675CA">
        <w:rPr>
          <w:rFonts w:asciiTheme="majorHAnsi" w:hAnsiTheme="majorHAnsi"/>
          <w:b/>
          <w:szCs w:val="22"/>
        </w:rPr>
        <w:t>2020-21</w:t>
      </w:r>
      <w:r w:rsidR="00F64DF1" w:rsidRPr="008675CA">
        <w:rPr>
          <w:rFonts w:asciiTheme="majorHAnsi" w:hAnsiTheme="majorHAnsi"/>
          <w:b/>
          <w:szCs w:val="22"/>
        </w:rPr>
        <w:t xml:space="preserve"> (Rs. In crore)</w:t>
      </w:r>
    </w:p>
    <w:tbl>
      <w:tblPr>
        <w:tblStyle w:val="TableGrid"/>
        <w:tblW w:w="9782" w:type="dxa"/>
        <w:tblInd w:w="108" w:type="dxa"/>
        <w:tblLayout w:type="fixed"/>
        <w:tblLook w:val="04A0" w:firstRow="1" w:lastRow="0" w:firstColumn="1" w:lastColumn="0" w:noHBand="0" w:noVBand="1"/>
      </w:tblPr>
      <w:tblGrid>
        <w:gridCol w:w="613"/>
        <w:gridCol w:w="3640"/>
        <w:gridCol w:w="1134"/>
        <w:gridCol w:w="992"/>
        <w:gridCol w:w="992"/>
        <w:gridCol w:w="1134"/>
        <w:gridCol w:w="1277"/>
      </w:tblGrid>
      <w:tr w:rsidR="00DA77FC" w:rsidRPr="00FE07AF" w14:paraId="3A985852" w14:textId="77777777" w:rsidTr="00FE07AF">
        <w:trPr>
          <w:trHeight w:val="547"/>
        </w:trPr>
        <w:tc>
          <w:tcPr>
            <w:tcW w:w="613" w:type="dxa"/>
          </w:tcPr>
          <w:p w14:paraId="19CC33C3" w14:textId="77777777" w:rsidR="00DA77FC" w:rsidRPr="00FE07AF" w:rsidRDefault="00DA77FC" w:rsidP="009C0E72">
            <w:pPr>
              <w:pStyle w:val="ListParagraph"/>
              <w:ind w:left="0"/>
              <w:rPr>
                <w:rFonts w:asciiTheme="majorHAnsi" w:hAnsiTheme="majorHAnsi"/>
                <w:b/>
                <w:sz w:val="20"/>
              </w:rPr>
            </w:pPr>
            <w:r w:rsidRPr="00FE07AF">
              <w:rPr>
                <w:rFonts w:asciiTheme="majorHAnsi" w:hAnsiTheme="majorHAnsi"/>
                <w:b/>
                <w:sz w:val="20"/>
              </w:rPr>
              <w:t>Sl. No.</w:t>
            </w:r>
          </w:p>
        </w:tc>
        <w:tc>
          <w:tcPr>
            <w:tcW w:w="3640" w:type="dxa"/>
          </w:tcPr>
          <w:p w14:paraId="49EA90FD" w14:textId="77777777" w:rsidR="00DA77FC" w:rsidRPr="00FE07AF" w:rsidRDefault="00DA77FC" w:rsidP="009C0E72">
            <w:pPr>
              <w:pStyle w:val="ListParagraph"/>
              <w:ind w:left="0"/>
              <w:rPr>
                <w:rFonts w:asciiTheme="majorHAnsi" w:hAnsiTheme="majorHAnsi"/>
                <w:b/>
                <w:sz w:val="20"/>
              </w:rPr>
            </w:pPr>
            <w:r w:rsidRPr="00FE07AF">
              <w:rPr>
                <w:rFonts w:asciiTheme="majorHAnsi" w:hAnsiTheme="majorHAnsi"/>
                <w:b/>
                <w:sz w:val="20"/>
              </w:rPr>
              <w:t>Particulars</w:t>
            </w:r>
          </w:p>
        </w:tc>
        <w:tc>
          <w:tcPr>
            <w:tcW w:w="1134" w:type="dxa"/>
          </w:tcPr>
          <w:p w14:paraId="2C9B66FD" w14:textId="77777777" w:rsidR="00DA77FC" w:rsidRDefault="00DA77FC" w:rsidP="009C0E72">
            <w:pPr>
              <w:pStyle w:val="ListParagraph"/>
              <w:ind w:left="0"/>
              <w:rPr>
                <w:rFonts w:asciiTheme="majorHAnsi" w:hAnsiTheme="majorHAnsi"/>
                <w:b/>
                <w:sz w:val="20"/>
              </w:rPr>
            </w:pPr>
            <w:r w:rsidRPr="00FE07AF">
              <w:rPr>
                <w:rFonts w:asciiTheme="majorHAnsi" w:hAnsiTheme="majorHAnsi"/>
                <w:b/>
                <w:sz w:val="20"/>
              </w:rPr>
              <w:t>MLHEP</w:t>
            </w:r>
          </w:p>
          <w:p w14:paraId="46C908E2" w14:textId="60CAC529" w:rsidR="00E01B5E" w:rsidRPr="00FE07AF" w:rsidRDefault="00E01B5E" w:rsidP="009C0E72">
            <w:pPr>
              <w:pStyle w:val="ListParagraph"/>
              <w:ind w:left="0"/>
              <w:rPr>
                <w:rFonts w:asciiTheme="majorHAnsi" w:hAnsiTheme="majorHAnsi"/>
                <w:b/>
                <w:sz w:val="20"/>
              </w:rPr>
            </w:pPr>
            <w:r>
              <w:rPr>
                <w:rFonts w:asciiTheme="majorHAnsi" w:hAnsiTheme="majorHAnsi"/>
                <w:b/>
                <w:sz w:val="20"/>
              </w:rPr>
              <w:t>(a)</w:t>
            </w:r>
          </w:p>
        </w:tc>
        <w:tc>
          <w:tcPr>
            <w:tcW w:w="992" w:type="dxa"/>
          </w:tcPr>
          <w:p w14:paraId="5DFA9A26" w14:textId="77777777" w:rsidR="00DA77FC" w:rsidRDefault="00DA77FC" w:rsidP="009C0E72">
            <w:pPr>
              <w:pStyle w:val="ListParagraph"/>
              <w:ind w:left="0"/>
              <w:rPr>
                <w:rFonts w:asciiTheme="majorHAnsi" w:hAnsiTheme="majorHAnsi"/>
                <w:b/>
                <w:sz w:val="20"/>
              </w:rPr>
            </w:pPr>
            <w:r w:rsidRPr="00FE07AF">
              <w:rPr>
                <w:rFonts w:asciiTheme="majorHAnsi" w:hAnsiTheme="majorHAnsi"/>
                <w:b/>
                <w:sz w:val="20"/>
              </w:rPr>
              <w:t>New Umtru</w:t>
            </w:r>
          </w:p>
          <w:p w14:paraId="2966B12D" w14:textId="71F87EFD" w:rsidR="00E01B5E" w:rsidRPr="00FE07AF" w:rsidRDefault="00E01B5E" w:rsidP="009C0E72">
            <w:pPr>
              <w:pStyle w:val="ListParagraph"/>
              <w:ind w:left="0"/>
              <w:rPr>
                <w:rFonts w:asciiTheme="majorHAnsi" w:hAnsiTheme="majorHAnsi"/>
                <w:b/>
                <w:sz w:val="20"/>
              </w:rPr>
            </w:pPr>
            <w:r>
              <w:rPr>
                <w:rFonts w:asciiTheme="majorHAnsi" w:hAnsiTheme="majorHAnsi"/>
                <w:b/>
                <w:sz w:val="20"/>
              </w:rPr>
              <w:t>(b)</w:t>
            </w:r>
          </w:p>
        </w:tc>
        <w:tc>
          <w:tcPr>
            <w:tcW w:w="992" w:type="dxa"/>
          </w:tcPr>
          <w:p w14:paraId="652CB249" w14:textId="77777777" w:rsidR="00DA77FC" w:rsidRDefault="00DA77FC" w:rsidP="009C0E72">
            <w:pPr>
              <w:pStyle w:val="ListParagraph"/>
              <w:ind w:left="0"/>
              <w:rPr>
                <w:rFonts w:asciiTheme="majorHAnsi" w:hAnsiTheme="majorHAnsi"/>
                <w:b/>
                <w:sz w:val="20"/>
              </w:rPr>
            </w:pPr>
            <w:r w:rsidRPr="00FE07AF">
              <w:rPr>
                <w:rFonts w:asciiTheme="majorHAnsi" w:hAnsiTheme="majorHAnsi"/>
                <w:b/>
                <w:sz w:val="20"/>
              </w:rPr>
              <w:t>Lakroh MHP</w:t>
            </w:r>
          </w:p>
          <w:p w14:paraId="63A7D47A" w14:textId="7EC07674" w:rsidR="00E01B5E" w:rsidRPr="00FE07AF" w:rsidRDefault="00E01B5E" w:rsidP="009C0E72">
            <w:pPr>
              <w:pStyle w:val="ListParagraph"/>
              <w:ind w:left="0"/>
              <w:rPr>
                <w:rFonts w:asciiTheme="majorHAnsi" w:hAnsiTheme="majorHAnsi"/>
                <w:b/>
                <w:sz w:val="20"/>
              </w:rPr>
            </w:pPr>
            <w:r>
              <w:rPr>
                <w:rFonts w:asciiTheme="majorHAnsi" w:hAnsiTheme="majorHAnsi"/>
                <w:b/>
                <w:sz w:val="20"/>
              </w:rPr>
              <w:t>(c)</w:t>
            </w:r>
          </w:p>
        </w:tc>
        <w:tc>
          <w:tcPr>
            <w:tcW w:w="1134" w:type="dxa"/>
          </w:tcPr>
          <w:p w14:paraId="3F9314CE" w14:textId="77777777" w:rsidR="00DA77FC" w:rsidRDefault="00DA77FC" w:rsidP="009C0E72">
            <w:pPr>
              <w:pStyle w:val="ListParagraph"/>
              <w:ind w:left="0"/>
              <w:rPr>
                <w:rFonts w:asciiTheme="majorHAnsi" w:hAnsiTheme="majorHAnsi"/>
                <w:b/>
                <w:sz w:val="20"/>
              </w:rPr>
            </w:pPr>
            <w:r w:rsidRPr="00FE07AF">
              <w:rPr>
                <w:rFonts w:asciiTheme="majorHAnsi" w:hAnsiTheme="majorHAnsi"/>
                <w:b/>
                <w:sz w:val="20"/>
              </w:rPr>
              <w:t>MePGCL Old Station</w:t>
            </w:r>
          </w:p>
          <w:p w14:paraId="388F30F3" w14:textId="0891E6A6" w:rsidR="00E01B5E" w:rsidRPr="00FE07AF" w:rsidRDefault="00E01B5E" w:rsidP="009C0E72">
            <w:pPr>
              <w:pStyle w:val="ListParagraph"/>
              <w:ind w:left="0"/>
              <w:rPr>
                <w:rFonts w:asciiTheme="majorHAnsi" w:hAnsiTheme="majorHAnsi"/>
                <w:b/>
                <w:sz w:val="20"/>
              </w:rPr>
            </w:pPr>
            <w:r>
              <w:rPr>
                <w:rFonts w:asciiTheme="majorHAnsi" w:hAnsiTheme="majorHAnsi"/>
                <w:b/>
                <w:sz w:val="20"/>
              </w:rPr>
              <w:t>(d)</w:t>
            </w:r>
          </w:p>
        </w:tc>
        <w:tc>
          <w:tcPr>
            <w:tcW w:w="1277" w:type="dxa"/>
          </w:tcPr>
          <w:p w14:paraId="604A308A" w14:textId="77777777" w:rsidR="00DA77FC" w:rsidRDefault="00DA77FC" w:rsidP="009C0E72">
            <w:pPr>
              <w:pStyle w:val="ListParagraph"/>
              <w:ind w:left="0"/>
              <w:rPr>
                <w:rFonts w:asciiTheme="majorHAnsi" w:hAnsiTheme="majorHAnsi"/>
                <w:b/>
                <w:sz w:val="20"/>
              </w:rPr>
            </w:pPr>
            <w:r w:rsidRPr="00FE07AF">
              <w:rPr>
                <w:rFonts w:asciiTheme="majorHAnsi" w:hAnsiTheme="majorHAnsi"/>
                <w:b/>
                <w:sz w:val="20"/>
              </w:rPr>
              <w:t>Total for MePGCL</w:t>
            </w:r>
          </w:p>
          <w:p w14:paraId="6855B1F1" w14:textId="19350DDB" w:rsidR="00E01B5E" w:rsidRPr="00FE07AF" w:rsidRDefault="00E01B5E" w:rsidP="009C0E72">
            <w:pPr>
              <w:pStyle w:val="ListParagraph"/>
              <w:ind w:left="0"/>
              <w:rPr>
                <w:rFonts w:asciiTheme="majorHAnsi" w:hAnsiTheme="majorHAnsi"/>
                <w:b/>
                <w:sz w:val="20"/>
              </w:rPr>
            </w:pPr>
            <w:r>
              <w:rPr>
                <w:rFonts w:asciiTheme="majorHAnsi" w:hAnsiTheme="majorHAnsi"/>
                <w:b/>
                <w:sz w:val="20"/>
              </w:rPr>
              <w:t>(e=a+b+c+d)</w:t>
            </w:r>
          </w:p>
        </w:tc>
      </w:tr>
      <w:tr w:rsidR="009C0E72" w:rsidRPr="00FE07AF" w14:paraId="71864566" w14:textId="77777777" w:rsidTr="00FE07AF">
        <w:trPr>
          <w:trHeight w:val="451"/>
        </w:trPr>
        <w:tc>
          <w:tcPr>
            <w:tcW w:w="613" w:type="dxa"/>
            <w:vAlign w:val="center"/>
          </w:tcPr>
          <w:p w14:paraId="01811F9A" w14:textId="77777777" w:rsidR="009C0E72" w:rsidRPr="00FE07AF" w:rsidRDefault="009C0E72" w:rsidP="00F64DF1">
            <w:pPr>
              <w:pStyle w:val="ListParagraph"/>
              <w:ind w:left="0"/>
              <w:rPr>
                <w:rFonts w:asciiTheme="majorHAnsi" w:hAnsiTheme="majorHAnsi"/>
                <w:sz w:val="20"/>
              </w:rPr>
            </w:pPr>
            <w:r w:rsidRPr="00FE07AF">
              <w:rPr>
                <w:rFonts w:asciiTheme="majorHAnsi" w:hAnsiTheme="majorHAnsi"/>
                <w:sz w:val="20"/>
              </w:rPr>
              <w:t>1</w:t>
            </w:r>
          </w:p>
        </w:tc>
        <w:tc>
          <w:tcPr>
            <w:tcW w:w="3640" w:type="dxa"/>
            <w:vAlign w:val="center"/>
          </w:tcPr>
          <w:p w14:paraId="51A61A4E" w14:textId="77777777" w:rsidR="009C0E72" w:rsidRPr="00FE07AF" w:rsidRDefault="009C0E72" w:rsidP="00923E81">
            <w:pPr>
              <w:pStyle w:val="ListParagraph"/>
              <w:ind w:left="0"/>
              <w:rPr>
                <w:rFonts w:asciiTheme="majorHAnsi" w:hAnsiTheme="majorHAnsi"/>
                <w:sz w:val="20"/>
              </w:rPr>
            </w:pPr>
            <w:r w:rsidRPr="00FE07AF">
              <w:rPr>
                <w:rFonts w:asciiTheme="majorHAnsi" w:hAnsiTheme="majorHAnsi"/>
                <w:sz w:val="20"/>
              </w:rPr>
              <w:t xml:space="preserve">Net AFC approved in the true up order </w:t>
            </w:r>
          </w:p>
        </w:tc>
        <w:tc>
          <w:tcPr>
            <w:tcW w:w="1134" w:type="dxa"/>
            <w:vAlign w:val="center"/>
          </w:tcPr>
          <w:p w14:paraId="6C4C077D" w14:textId="77777777" w:rsidR="009C0E72" w:rsidRPr="00FE07AF" w:rsidRDefault="009C0E72" w:rsidP="00923E81">
            <w:pPr>
              <w:pStyle w:val="ListParagraph"/>
              <w:ind w:left="0"/>
              <w:rPr>
                <w:rFonts w:asciiTheme="majorHAnsi" w:hAnsiTheme="majorHAnsi" w:cs="Calibri"/>
                <w:sz w:val="20"/>
              </w:rPr>
            </w:pPr>
            <w:r w:rsidRPr="00FE07AF">
              <w:rPr>
                <w:rFonts w:asciiTheme="majorHAnsi" w:hAnsiTheme="majorHAnsi" w:cs="Calibri"/>
                <w:sz w:val="20"/>
              </w:rPr>
              <w:t>166.20</w:t>
            </w:r>
          </w:p>
        </w:tc>
        <w:tc>
          <w:tcPr>
            <w:tcW w:w="992" w:type="dxa"/>
            <w:vAlign w:val="center"/>
          </w:tcPr>
          <w:p w14:paraId="3BC833F5" w14:textId="77777777" w:rsidR="009C0E72" w:rsidRPr="00FE07AF" w:rsidRDefault="009C0E72" w:rsidP="00923E81">
            <w:pPr>
              <w:pStyle w:val="ListParagraph"/>
              <w:ind w:left="0"/>
              <w:rPr>
                <w:rFonts w:asciiTheme="majorHAnsi" w:hAnsiTheme="majorHAnsi" w:cs="Calibri"/>
                <w:sz w:val="20"/>
              </w:rPr>
            </w:pPr>
            <w:r w:rsidRPr="00FE07AF">
              <w:rPr>
                <w:rFonts w:asciiTheme="majorHAnsi" w:hAnsiTheme="majorHAnsi" w:cs="Calibri"/>
                <w:sz w:val="20"/>
              </w:rPr>
              <w:t>94.87</w:t>
            </w:r>
          </w:p>
        </w:tc>
        <w:tc>
          <w:tcPr>
            <w:tcW w:w="992" w:type="dxa"/>
            <w:vAlign w:val="center"/>
          </w:tcPr>
          <w:p w14:paraId="0A7E0710" w14:textId="77777777" w:rsidR="009C0E72" w:rsidRPr="00FE07AF" w:rsidRDefault="009C0E72" w:rsidP="00923E81">
            <w:pPr>
              <w:pStyle w:val="ListParagraph"/>
              <w:ind w:left="0"/>
              <w:rPr>
                <w:rFonts w:asciiTheme="majorHAnsi" w:hAnsiTheme="majorHAnsi" w:cs="Calibri"/>
                <w:sz w:val="20"/>
              </w:rPr>
            </w:pPr>
            <w:r w:rsidRPr="00FE07AF">
              <w:rPr>
                <w:rFonts w:asciiTheme="majorHAnsi" w:hAnsiTheme="majorHAnsi" w:cs="Calibri"/>
                <w:sz w:val="20"/>
              </w:rPr>
              <w:t>1.86</w:t>
            </w:r>
          </w:p>
        </w:tc>
        <w:tc>
          <w:tcPr>
            <w:tcW w:w="1134" w:type="dxa"/>
            <w:vAlign w:val="center"/>
          </w:tcPr>
          <w:p w14:paraId="1FE1A81D" w14:textId="37D170DD" w:rsidR="009C0E72" w:rsidRPr="00FE07AF" w:rsidRDefault="006517AE" w:rsidP="00923E81">
            <w:pPr>
              <w:pStyle w:val="ListParagraph"/>
              <w:ind w:left="0"/>
              <w:rPr>
                <w:rFonts w:asciiTheme="majorHAnsi" w:hAnsiTheme="majorHAnsi" w:cs="Calibri"/>
                <w:sz w:val="20"/>
              </w:rPr>
            </w:pPr>
            <w:r>
              <w:rPr>
                <w:rFonts w:asciiTheme="majorHAnsi" w:hAnsiTheme="majorHAnsi" w:cs="Calibri"/>
                <w:sz w:val="20"/>
              </w:rPr>
              <w:t>33.54</w:t>
            </w:r>
          </w:p>
        </w:tc>
        <w:tc>
          <w:tcPr>
            <w:tcW w:w="1277" w:type="dxa"/>
            <w:vAlign w:val="center"/>
          </w:tcPr>
          <w:p w14:paraId="2EFB15F6" w14:textId="77777777" w:rsidR="009C0E72" w:rsidRPr="00FE07AF" w:rsidRDefault="009C0E72" w:rsidP="00923E81">
            <w:pPr>
              <w:pStyle w:val="ListParagraph"/>
              <w:ind w:left="0"/>
              <w:rPr>
                <w:rFonts w:asciiTheme="majorHAnsi" w:hAnsiTheme="majorHAnsi"/>
                <w:sz w:val="20"/>
              </w:rPr>
            </w:pPr>
            <w:r w:rsidRPr="00FE07AF">
              <w:rPr>
                <w:rFonts w:asciiTheme="majorHAnsi" w:hAnsiTheme="majorHAnsi"/>
                <w:sz w:val="20"/>
              </w:rPr>
              <w:t>296.43</w:t>
            </w:r>
          </w:p>
        </w:tc>
      </w:tr>
      <w:tr w:rsidR="00CF6D76" w:rsidRPr="00FE07AF" w14:paraId="5EADB6DB" w14:textId="77777777" w:rsidTr="00FE07AF">
        <w:trPr>
          <w:trHeight w:val="451"/>
        </w:trPr>
        <w:tc>
          <w:tcPr>
            <w:tcW w:w="613" w:type="dxa"/>
            <w:vAlign w:val="center"/>
          </w:tcPr>
          <w:p w14:paraId="47213B63" w14:textId="77777777" w:rsidR="00CF6D76" w:rsidRPr="00FE07AF" w:rsidRDefault="00CF6D76" w:rsidP="00F64DF1">
            <w:pPr>
              <w:pStyle w:val="ListParagraph"/>
              <w:ind w:left="0"/>
              <w:rPr>
                <w:rFonts w:asciiTheme="majorHAnsi" w:hAnsiTheme="majorHAnsi"/>
                <w:sz w:val="20"/>
              </w:rPr>
            </w:pPr>
            <w:r w:rsidRPr="00FE07AF">
              <w:rPr>
                <w:rFonts w:asciiTheme="majorHAnsi" w:hAnsiTheme="majorHAnsi"/>
                <w:sz w:val="20"/>
              </w:rPr>
              <w:t>2</w:t>
            </w:r>
          </w:p>
        </w:tc>
        <w:tc>
          <w:tcPr>
            <w:tcW w:w="3640" w:type="dxa"/>
            <w:vAlign w:val="center"/>
          </w:tcPr>
          <w:p w14:paraId="60F01D01" w14:textId="77777777" w:rsidR="00CF6D76" w:rsidRPr="00FE07AF" w:rsidRDefault="00CF6D76" w:rsidP="00923E81">
            <w:pPr>
              <w:pStyle w:val="ListParagraph"/>
              <w:ind w:left="0"/>
              <w:rPr>
                <w:rFonts w:asciiTheme="majorHAnsi" w:hAnsiTheme="majorHAnsi"/>
                <w:sz w:val="20"/>
              </w:rPr>
            </w:pPr>
            <w:r w:rsidRPr="00FE07AF">
              <w:rPr>
                <w:rFonts w:asciiTheme="majorHAnsi" w:hAnsiTheme="majorHAnsi"/>
                <w:sz w:val="20"/>
              </w:rPr>
              <w:t>Net AFC as per review petition</w:t>
            </w:r>
          </w:p>
        </w:tc>
        <w:tc>
          <w:tcPr>
            <w:tcW w:w="1134" w:type="dxa"/>
            <w:vAlign w:val="center"/>
          </w:tcPr>
          <w:p w14:paraId="7695999C" w14:textId="77777777" w:rsidR="00CF6D76" w:rsidRPr="00FE07AF" w:rsidRDefault="00CF6D76" w:rsidP="00923E81">
            <w:pPr>
              <w:pStyle w:val="ListParagraph"/>
              <w:ind w:left="0"/>
              <w:rPr>
                <w:rFonts w:asciiTheme="majorHAnsi" w:hAnsiTheme="majorHAnsi"/>
                <w:sz w:val="20"/>
              </w:rPr>
            </w:pPr>
            <w:r w:rsidRPr="00FE07AF">
              <w:rPr>
                <w:rFonts w:asciiTheme="majorHAnsi" w:hAnsiTheme="majorHAnsi"/>
                <w:sz w:val="20"/>
              </w:rPr>
              <w:t>202.7</w:t>
            </w:r>
          </w:p>
        </w:tc>
        <w:tc>
          <w:tcPr>
            <w:tcW w:w="992" w:type="dxa"/>
            <w:vAlign w:val="center"/>
          </w:tcPr>
          <w:p w14:paraId="6432E53D" w14:textId="77777777" w:rsidR="00CF6D76" w:rsidRPr="00FE07AF" w:rsidRDefault="00CF6D76" w:rsidP="00923E81">
            <w:pPr>
              <w:pStyle w:val="ListParagraph"/>
              <w:ind w:left="0"/>
              <w:rPr>
                <w:rFonts w:asciiTheme="majorHAnsi" w:hAnsiTheme="majorHAnsi"/>
                <w:sz w:val="20"/>
              </w:rPr>
            </w:pPr>
            <w:r w:rsidRPr="00FE07AF">
              <w:rPr>
                <w:rFonts w:asciiTheme="majorHAnsi" w:hAnsiTheme="majorHAnsi"/>
                <w:sz w:val="20"/>
              </w:rPr>
              <w:t>101.10</w:t>
            </w:r>
          </w:p>
        </w:tc>
        <w:tc>
          <w:tcPr>
            <w:tcW w:w="992" w:type="dxa"/>
            <w:vAlign w:val="center"/>
          </w:tcPr>
          <w:p w14:paraId="0F9140D6" w14:textId="77777777" w:rsidR="00CF6D76" w:rsidRPr="00FE07AF" w:rsidRDefault="00CF6D76" w:rsidP="00923E81">
            <w:pPr>
              <w:pStyle w:val="ListParagraph"/>
              <w:ind w:left="0"/>
              <w:rPr>
                <w:rFonts w:asciiTheme="majorHAnsi" w:hAnsiTheme="majorHAnsi"/>
                <w:sz w:val="20"/>
              </w:rPr>
            </w:pPr>
            <w:r w:rsidRPr="00FE07AF">
              <w:rPr>
                <w:rFonts w:asciiTheme="majorHAnsi" w:hAnsiTheme="majorHAnsi"/>
                <w:sz w:val="20"/>
              </w:rPr>
              <w:t>2.97</w:t>
            </w:r>
          </w:p>
        </w:tc>
        <w:tc>
          <w:tcPr>
            <w:tcW w:w="1134" w:type="dxa"/>
            <w:vAlign w:val="center"/>
          </w:tcPr>
          <w:p w14:paraId="527105E4" w14:textId="4F78E028" w:rsidR="00CF6D76" w:rsidRPr="00FE07AF" w:rsidRDefault="00E01B5E" w:rsidP="00923E81">
            <w:pPr>
              <w:pStyle w:val="ListParagraph"/>
              <w:ind w:left="0"/>
              <w:rPr>
                <w:rFonts w:asciiTheme="majorHAnsi" w:hAnsiTheme="majorHAnsi"/>
                <w:sz w:val="20"/>
              </w:rPr>
            </w:pPr>
            <w:r>
              <w:rPr>
                <w:rFonts w:asciiTheme="majorHAnsi" w:hAnsiTheme="majorHAnsi"/>
                <w:sz w:val="20"/>
              </w:rPr>
              <w:t>163.14</w:t>
            </w:r>
          </w:p>
        </w:tc>
        <w:tc>
          <w:tcPr>
            <w:tcW w:w="1277" w:type="dxa"/>
            <w:vAlign w:val="center"/>
          </w:tcPr>
          <w:p w14:paraId="54FBE5DA" w14:textId="7FD86B5A" w:rsidR="00CF6D76" w:rsidRPr="00FE07AF" w:rsidRDefault="00E01B5E" w:rsidP="00923E81">
            <w:pPr>
              <w:pStyle w:val="ListParagraph"/>
              <w:ind w:left="0"/>
              <w:rPr>
                <w:rFonts w:asciiTheme="majorHAnsi" w:hAnsiTheme="majorHAnsi"/>
                <w:sz w:val="20"/>
              </w:rPr>
            </w:pPr>
            <w:r>
              <w:rPr>
                <w:rFonts w:asciiTheme="majorHAnsi" w:hAnsiTheme="majorHAnsi"/>
                <w:sz w:val="20"/>
              </w:rPr>
              <w:t>469.91</w:t>
            </w:r>
          </w:p>
        </w:tc>
      </w:tr>
      <w:tr w:rsidR="00CF6D76" w:rsidRPr="00FE07AF" w14:paraId="7D995843" w14:textId="77777777" w:rsidTr="00FE07AF">
        <w:trPr>
          <w:trHeight w:val="451"/>
        </w:trPr>
        <w:tc>
          <w:tcPr>
            <w:tcW w:w="613" w:type="dxa"/>
            <w:vAlign w:val="center"/>
          </w:tcPr>
          <w:p w14:paraId="494CE785" w14:textId="77777777" w:rsidR="00CF6D76" w:rsidRPr="00FE07AF" w:rsidRDefault="00CF6D76" w:rsidP="00F64DF1">
            <w:pPr>
              <w:pStyle w:val="ListParagraph"/>
              <w:ind w:left="0"/>
              <w:rPr>
                <w:rFonts w:asciiTheme="majorHAnsi" w:hAnsiTheme="majorHAnsi"/>
                <w:sz w:val="20"/>
              </w:rPr>
            </w:pPr>
            <w:r w:rsidRPr="00FE07AF">
              <w:rPr>
                <w:rFonts w:asciiTheme="majorHAnsi" w:hAnsiTheme="majorHAnsi"/>
                <w:sz w:val="20"/>
              </w:rPr>
              <w:t>3</w:t>
            </w:r>
          </w:p>
        </w:tc>
        <w:tc>
          <w:tcPr>
            <w:tcW w:w="3640" w:type="dxa"/>
            <w:vAlign w:val="center"/>
          </w:tcPr>
          <w:p w14:paraId="265AABBD" w14:textId="77777777" w:rsidR="00CF6D76" w:rsidRPr="00FE07AF" w:rsidRDefault="00CF6D76" w:rsidP="00923E81">
            <w:pPr>
              <w:pStyle w:val="ListParagraph"/>
              <w:ind w:left="0"/>
              <w:rPr>
                <w:rFonts w:asciiTheme="majorHAnsi" w:hAnsiTheme="majorHAnsi"/>
                <w:sz w:val="20"/>
              </w:rPr>
            </w:pPr>
            <w:r w:rsidRPr="00FE07AF">
              <w:rPr>
                <w:rFonts w:asciiTheme="majorHAnsi" w:hAnsiTheme="majorHAnsi"/>
                <w:sz w:val="20"/>
              </w:rPr>
              <w:t>Revenue  from Operation FY 2020-21</w:t>
            </w:r>
          </w:p>
        </w:tc>
        <w:tc>
          <w:tcPr>
            <w:tcW w:w="1134" w:type="dxa"/>
            <w:vAlign w:val="center"/>
          </w:tcPr>
          <w:p w14:paraId="7F7B4401" w14:textId="77777777" w:rsidR="00CF6D76" w:rsidRPr="00FE07AF" w:rsidRDefault="00CF6D76" w:rsidP="00923E81">
            <w:pPr>
              <w:pStyle w:val="ListParagraph"/>
              <w:ind w:left="0"/>
              <w:rPr>
                <w:rFonts w:asciiTheme="majorHAnsi" w:hAnsiTheme="majorHAnsi"/>
                <w:sz w:val="20"/>
              </w:rPr>
            </w:pPr>
            <w:r w:rsidRPr="00FE07AF">
              <w:rPr>
                <w:rFonts w:asciiTheme="majorHAnsi" w:hAnsiTheme="majorHAnsi"/>
                <w:sz w:val="20"/>
              </w:rPr>
              <w:t>58.68</w:t>
            </w:r>
          </w:p>
        </w:tc>
        <w:tc>
          <w:tcPr>
            <w:tcW w:w="992" w:type="dxa"/>
            <w:vAlign w:val="center"/>
          </w:tcPr>
          <w:p w14:paraId="36ECCC1B" w14:textId="77777777" w:rsidR="00CF6D76" w:rsidRPr="00FE07AF" w:rsidRDefault="00CF6D76" w:rsidP="00923E81">
            <w:pPr>
              <w:pStyle w:val="ListParagraph"/>
              <w:ind w:left="0"/>
              <w:rPr>
                <w:rFonts w:asciiTheme="majorHAnsi" w:hAnsiTheme="majorHAnsi"/>
                <w:sz w:val="20"/>
              </w:rPr>
            </w:pPr>
            <w:r w:rsidRPr="00FE07AF">
              <w:rPr>
                <w:rFonts w:asciiTheme="majorHAnsi" w:hAnsiTheme="majorHAnsi"/>
                <w:sz w:val="20"/>
              </w:rPr>
              <w:t>19.78</w:t>
            </w:r>
          </w:p>
        </w:tc>
        <w:tc>
          <w:tcPr>
            <w:tcW w:w="992" w:type="dxa"/>
            <w:vAlign w:val="center"/>
          </w:tcPr>
          <w:p w14:paraId="355EF775" w14:textId="77777777" w:rsidR="00CF6D76" w:rsidRPr="00FE07AF" w:rsidRDefault="00CF6D76" w:rsidP="00923E81">
            <w:pPr>
              <w:pStyle w:val="ListParagraph"/>
              <w:ind w:left="0"/>
              <w:rPr>
                <w:rFonts w:asciiTheme="majorHAnsi" w:hAnsiTheme="majorHAnsi"/>
                <w:sz w:val="20"/>
              </w:rPr>
            </w:pPr>
            <w:r w:rsidRPr="00FE07AF">
              <w:rPr>
                <w:rFonts w:asciiTheme="majorHAnsi" w:hAnsiTheme="majorHAnsi"/>
                <w:sz w:val="20"/>
              </w:rPr>
              <w:t>0.50</w:t>
            </w:r>
          </w:p>
        </w:tc>
        <w:tc>
          <w:tcPr>
            <w:tcW w:w="1134" w:type="dxa"/>
            <w:vAlign w:val="center"/>
          </w:tcPr>
          <w:p w14:paraId="17482091" w14:textId="77777777" w:rsidR="00CF6D76" w:rsidRPr="00FE07AF" w:rsidRDefault="00CF6D76" w:rsidP="00923E81">
            <w:pPr>
              <w:pStyle w:val="ListParagraph"/>
              <w:ind w:left="0"/>
              <w:rPr>
                <w:rFonts w:asciiTheme="majorHAnsi" w:hAnsiTheme="majorHAnsi"/>
                <w:sz w:val="20"/>
              </w:rPr>
            </w:pPr>
            <w:r w:rsidRPr="00FE07AF">
              <w:rPr>
                <w:rFonts w:asciiTheme="majorHAnsi" w:hAnsiTheme="majorHAnsi"/>
                <w:sz w:val="20"/>
              </w:rPr>
              <w:t>95.88</w:t>
            </w:r>
          </w:p>
        </w:tc>
        <w:tc>
          <w:tcPr>
            <w:tcW w:w="1277" w:type="dxa"/>
            <w:vAlign w:val="center"/>
          </w:tcPr>
          <w:p w14:paraId="45162514" w14:textId="77777777" w:rsidR="00CF6D76" w:rsidRPr="00FE07AF" w:rsidRDefault="00CF6D76" w:rsidP="00923E81">
            <w:pPr>
              <w:pStyle w:val="ListParagraph"/>
              <w:ind w:left="0"/>
              <w:rPr>
                <w:rFonts w:asciiTheme="majorHAnsi" w:hAnsiTheme="majorHAnsi"/>
                <w:sz w:val="20"/>
              </w:rPr>
            </w:pPr>
            <w:r w:rsidRPr="00FE07AF">
              <w:rPr>
                <w:rFonts w:asciiTheme="majorHAnsi" w:hAnsiTheme="majorHAnsi"/>
                <w:sz w:val="20"/>
              </w:rPr>
              <w:t>174.87</w:t>
            </w:r>
          </w:p>
        </w:tc>
      </w:tr>
      <w:tr w:rsidR="00CF6D76" w:rsidRPr="00FE07AF" w14:paraId="0DDF4A8E" w14:textId="77777777" w:rsidTr="00FE07AF">
        <w:trPr>
          <w:trHeight w:val="608"/>
        </w:trPr>
        <w:tc>
          <w:tcPr>
            <w:tcW w:w="613" w:type="dxa"/>
            <w:vAlign w:val="center"/>
          </w:tcPr>
          <w:p w14:paraId="7EDC0709" w14:textId="77777777" w:rsidR="00CF6D76" w:rsidRPr="00FE07AF" w:rsidRDefault="00CF6D76" w:rsidP="00F64DF1">
            <w:pPr>
              <w:pStyle w:val="ListParagraph"/>
              <w:ind w:left="0"/>
              <w:rPr>
                <w:rFonts w:asciiTheme="majorHAnsi" w:hAnsiTheme="majorHAnsi"/>
                <w:sz w:val="20"/>
              </w:rPr>
            </w:pPr>
            <w:r w:rsidRPr="00FE07AF">
              <w:rPr>
                <w:rFonts w:asciiTheme="majorHAnsi" w:hAnsiTheme="majorHAnsi"/>
                <w:sz w:val="20"/>
              </w:rPr>
              <w:t>4</w:t>
            </w:r>
          </w:p>
        </w:tc>
        <w:tc>
          <w:tcPr>
            <w:tcW w:w="3640" w:type="dxa"/>
            <w:vAlign w:val="center"/>
          </w:tcPr>
          <w:p w14:paraId="5A06D87B" w14:textId="54B280CA" w:rsidR="00CF6D76" w:rsidRPr="00FE07AF" w:rsidRDefault="00CF6D76" w:rsidP="00923E81">
            <w:pPr>
              <w:pStyle w:val="ListParagraph"/>
              <w:ind w:left="0"/>
              <w:rPr>
                <w:rFonts w:asciiTheme="majorHAnsi" w:hAnsiTheme="majorHAnsi"/>
                <w:b/>
                <w:sz w:val="20"/>
              </w:rPr>
            </w:pPr>
            <w:r w:rsidRPr="00FE07AF">
              <w:rPr>
                <w:rFonts w:asciiTheme="majorHAnsi" w:hAnsiTheme="majorHAnsi"/>
                <w:b/>
                <w:sz w:val="20"/>
              </w:rPr>
              <w:t>Gap during the year</w:t>
            </w:r>
            <w:r w:rsidR="00FE07AF" w:rsidRPr="00FE07AF">
              <w:rPr>
                <w:rFonts w:asciiTheme="majorHAnsi" w:hAnsiTheme="majorHAnsi"/>
                <w:b/>
                <w:sz w:val="20"/>
              </w:rPr>
              <w:t xml:space="preserve"> as per review of true up order     </w:t>
            </w:r>
            <w:r w:rsidRPr="00FE07AF">
              <w:rPr>
                <w:rFonts w:asciiTheme="majorHAnsi" w:hAnsiTheme="majorHAnsi"/>
                <w:b/>
                <w:sz w:val="20"/>
              </w:rPr>
              <w:t>(</w:t>
            </w:r>
            <w:r w:rsidRPr="00FE07AF">
              <w:rPr>
                <w:rFonts w:asciiTheme="majorHAnsi" w:hAnsiTheme="majorHAnsi"/>
                <w:b/>
                <w:i/>
                <w:sz w:val="20"/>
              </w:rPr>
              <w:t>2-3</w:t>
            </w:r>
            <w:r w:rsidRPr="00FE07AF">
              <w:rPr>
                <w:rFonts w:asciiTheme="majorHAnsi" w:hAnsiTheme="majorHAnsi"/>
                <w:b/>
                <w:sz w:val="20"/>
              </w:rPr>
              <w:t>)</w:t>
            </w:r>
          </w:p>
        </w:tc>
        <w:tc>
          <w:tcPr>
            <w:tcW w:w="1134" w:type="dxa"/>
            <w:vAlign w:val="center"/>
          </w:tcPr>
          <w:p w14:paraId="53ABDC65" w14:textId="24B23080" w:rsidR="00CF6D76" w:rsidRPr="00FE07AF" w:rsidRDefault="00FE07AF" w:rsidP="00923E81">
            <w:pPr>
              <w:pStyle w:val="ListParagraph"/>
              <w:ind w:left="0"/>
              <w:rPr>
                <w:rFonts w:asciiTheme="majorHAnsi" w:hAnsiTheme="majorHAnsi" w:cs="Calibri"/>
                <w:b/>
                <w:sz w:val="20"/>
              </w:rPr>
            </w:pPr>
            <w:r>
              <w:rPr>
                <w:rFonts w:asciiTheme="majorHAnsi" w:hAnsiTheme="majorHAnsi" w:cs="Calibri"/>
                <w:b/>
                <w:sz w:val="20"/>
              </w:rPr>
              <w:t>144.06</w:t>
            </w:r>
          </w:p>
        </w:tc>
        <w:tc>
          <w:tcPr>
            <w:tcW w:w="992" w:type="dxa"/>
            <w:vAlign w:val="center"/>
          </w:tcPr>
          <w:p w14:paraId="0332F63F" w14:textId="77777777" w:rsidR="00CF6D76" w:rsidRPr="00FE07AF" w:rsidRDefault="00CF6D76" w:rsidP="00923E81">
            <w:pPr>
              <w:pStyle w:val="ListParagraph"/>
              <w:ind w:left="0"/>
              <w:rPr>
                <w:rFonts w:asciiTheme="majorHAnsi" w:hAnsiTheme="majorHAnsi" w:cs="Calibri"/>
                <w:b/>
                <w:sz w:val="20"/>
              </w:rPr>
            </w:pPr>
            <w:r w:rsidRPr="00FE07AF">
              <w:rPr>
                <w:rFonts w:asciiTheme="majorHAnsi" w:hAnsiTheme="majorHAnsi" w:cs="Calibri"/>
                <w:b/>
                <w:sz w:val="20"/>
              </w:rPr>
              <w:t>81.27</w:t>
            </w:r>
          </w:p>
        </w:tc>
        <w:tc>
          <w:tcPr>
            <w:tcW w:w="992" w:type="dxa"/>
            <w:vAlign w:val="center"/>
          </w:tcPr>
          <w:p w14:paraId="551D8369" w14:textId="24218E53" w:rsidR="00CF6D76" w:rsidRPr="00FE07AF" w:rsidRDefault="00FE07AF" w:rsidP="00923E81">
            <w:pPr>
              <w:pStyle w:val="ListParagraph"/>
              <w:ind w:left="0"/>
              <w:rPr>
                <w:rFonts w:asciiTheme="majorHAnsi" w:hAnsiTheme="majorHAnsi" w:cs="Calibri"/>
                <w:b/>
                <w:sz w:val="20"/>
              </w:rPr>
            </w:pPr>
            <w:r>
              <w:rPr>
                <w:rFonts w:asciiTheme="majorHAnsi" w:hAnsiTheme="majorHAnsi" w:cs="Calibri"/>
                <w:b/>
                <w:sz w:val="20"/>
              </w:rPr>
              <w:t>2.36</w:t>
            </w:r>
          </w:p>
        </w:tc>
        <w:tc>
          <w:tcPr>
            <w:tcW w:w="1134" w:type="dxa"/>
            <w:vAlign w:val="center"/>
          </w:tcPr>
          <w:p w14:paraId="684739A6" w14:textId="6395DC73" w:rsidR="00CF6D76" w:rsidRPr="00FE07AF" w:rsidRDefault="00E01B5E" w:rsidP="00923E81">
            <w:pPr>
              <w:pStyle w:val="ListParagraph"/>
              <w:ind w:left="0"/>
              <w:rPr>
                <w:rFonts w:asciiTheme="majorHAnsi" w:hAnsiTheme="majorHAnsi" w:cs="Calibri"/>
                <w:b/>
                <w:sz w:val="20"/>
              </w:rPr>
            </w:pPr>
            <w:r>
              <w:rPr>
                <w:rFonts w:asciiTheme="majorHAnsi" w:hAnsiTheme="majorHAnsi" w:cs="Calibri"/>
                <w:b/>
                <w:sz w:val="20"/>
              </w:rPr>
              <w:t>67.26</w:t>
            </w:r>
          </w:p>
        </w:tc>
        <w:tc>
          <w:tcPr>
            <w:tcW w:w="1277" w:type="dxa"/>
            <w:vAlign w:val="center"/>
          </w:tcPr>
          <w:p w14:paraId="0F7B725E" w14:textId="676D97BA" w:rsidR="00CF6D76" w:rsidRPr="00FE07AF" w:rsidRDefault="00E01B5E" w:rsidP="00923E81">
            <w:pPr>
              <w:pStyle w:val="ListParagraph"/>
              <w:ind w:left="0"/>
              <w:rPr>
                <w:rFonts w:asciiTheme="majorHAnsi" w:hAnsiTheme="majorHAnsi"/>
                <w:b/>
                <w:sz w:val="20"/>
              </w:rPr>
            </w:pPr>
            <w:r>
              <w:rPr>
                <w:rFonts w:asciiTheme="majorHAnsi" w:hAnsiTheme="majorHAnsi"/>
                <w:b/>
                <w:sz w:val="20"/>
              </w:rPr>
              <w:t>295.49</w:t>
            </w:r>
          </w:p>
        </w:tc>
      </w:tr>
      <w:tr w:rsidR="00CF6D76" w:rsidRPr="00FE07AF" w14:paraId="6B785304" w14:textId="77777777" w:rsidTr="00FE07AF">
        <w:trPr>
          <w:trHeight w:val="608"/>
        </w:trPr>
        <w:tc>
          <w:tcPr>
            <w:tcW w:w="613" w:type="dxa"/>
            <w:vAlign w:val="center"/>
          </w:tcPr>
          <w:p w14:paraId="4A3BEB39" w14:textId="77777777" w:rsidR="00CF6D76" w:rsidRPr="00FE07AF" w:rsidRDefault="00CF6D76" w:rsidP="00F64DF1">
            <w:pPr>
              <w:pStyle w:val="ListParagraph"/>
              <w:ind w:left="0"/>
              <w:rPr>
                <w:rFonts w:asciiTheme="majorHAnsi" w:hAnsiTheme="majorHAnsi"/>
                <w:sz w:val="20"/>
              </w:rPr>
            </w:pPr>
            <w:r w:rsidRPr="00FE07AF">
              <w:rPr>
                <w:rFonts w:asciiTheme="majorHAnsi" w:hAnsiTheme="majorHAnsi"/>
                <w:sz w:val="20"/>
              </w:rPr>
              <w:t>5</w:t>
            </w:r>
          </w:p>
        </w:tc>
        <w:tc>
          <w:tcPr>
            <w:tcW w:w="3640" w:type="dxa"/>
            <w:vAlign w:val="center"/>
          </w:tcPr>
          <w:p w14:paraId="77BBC80A" w14:textId="77777777" w:rsidR="00CF6D76" w:rsidRPr="00FE07AF" w:rsidRDefault="00CF6D76" w:rsidP="00923E81">
            <w:pPr>
              <w:pStyle w:val="ListParagraph"/>
              <w:ind w:left="0"/>
              <w:rPr>
                <w:rFonts w:asciiTheme="majorHAnsi" w:hAnsiTheme="majorHAnsi"/>
                <w:b/>
                <w:sz w:val="20"/>
              </w:rPr>
            </w:pPr>
            <w:r w:rsidRPr="00FE07AF">
              <w:rPr>
                <w:rFonts w:asciiTheme="majorHAnsi" w:hAnsiTheme="majorHAnsi"/>
                <w:sz w:val="20"/>
              </w:rPr>
              <w:t>Net Rev gap for FY 20-21 adjusted in FY 23-24</w:t>
            </w:r>
            <w:r w:rsidRPr="00FE07AF">
              <w:rPr>
                <w:rFonts w:asciiTheme="majorHAnsi" w:hAnsiTheme="majorHAnsi"/>
                <w:b/>
                <w:sz w:val="20"/>
              </w:rPr>
              <w:t xml:space="preserve"> (as per order dt.30.01.23)</w:t>
            </w:r>
          </w:p>
        </w:tc>
        <w:tc>
          <w:tcPr>
            <w:tcW w:w="1134" w:type="dxa"/>
            <w:vAlign w:val="center"/>
          </w:tcPr>
          <w:p w14:paraId="79F61BC5" w14:textId="77777777" w:rsidR="00CF6D76" w:rsidRPr="00FE07AF" w:rsidRDefault="00CF6D76" w:rsidP="00923E81">
            <w:pPr>
              <w:pStyle w:val="ListParagraph"/>
              <w:ind w:left="0"/>
              <w:rPr>
                <w:rFonts w:asciiTheme="majorHAnsi" w:hAnsiTheme="majorHAnsi"/>
                <w:sz w:val="20"/>
              </w:rPr>
            </w:pPr>
            <w:r w:rsidRPr="00FE07AF">
              <w:rPr>
                <w:rFonts w:asciiTheme="majorHAnsi" w:hAnsiTheme="majorHAnsi"/>
                <w:sz w:val="20"/>
              </w:rPr>
              <w:t>107.48</w:t>
            </w:r>
          </w:p>
        </w:tc>
        <w:tc>
          <w:tcPr>
            <w:tcW w:w="992" w:type="dxa"/>
            <w:vAlign w:val="center"/>
          </w:tcPr>
          <w:p w14:paraId="71944362" w14:textId="77777777" w:rsidR="00CF6D76" w:rsidRPr="00FE07AF" w:rsidRDefault="00CF6D76" w:rsidP="00923E81">
            <w:pPr>
              <w:pStyle w:val="ListParagraph"/>
              <w:ind w:left="0"/>
              <w:rPr>
                <w:rFonts w:asciiTheme="majorHAnsi" w:hAnsiTheme="majorHAnsi"/>
                <w:sz w:val="20"/>
              </w:rPr>
            </w:pPr>
            <w:r w:rsidRPr="00FE07AF">
              <w:rPr>
                <w:rFonts w:asciiTheme="majorHAnsi" w:hAnsiTheme="majorHAnsi"/>
                <w:sz w:val="20"/>
              </w:rPr>
              <w:t>75.08</w:t>
            </w:r>
          </w:p>
        </w:tc>
        <w:tc>
          <w:tcPr>
            <w:tcW w:w="992" w:type="dxa"/>
            <w:vAlign w:val="center"/>
          </w:tcPr>
          <w:p w14:paraId="5FE9F951" w14:textId="77777777" w:rsidR="00CF6D76" w:rsidRPr="00FE07AF" w:rsidRDefault="00CF6D76" w:rsidP="00923E81">
            <w:pPr>
              <w:pStyle w:val="ListParagraph"/>
              <w:ind w:left="0"/>
              <w:rPr>
                <w:rFonts w:asciiTheme="majorHAnsi" w:hAnsiTheme="majorHAnsi"/>
                <w:sz w:val="20"/>
              </w:rPr>
            </w:pPr>
            <w:r w:rsidRPr="00FE07AF">
              <w:rPr>
                <w:rFonts w:asciiTheme="majorHAnsi" w:hAnsiTheme="majorHAnsi"/>
                <w:sz w:val="20"/>
              </w:rPr>
              <w:t>1.36</w:t>
            </w:r>
          </w:p>
        </w:tc>
        <w:tc>
          <w:tcPr>
            <w:tcW w:w="1134" w:type="dxa"/>
            <w:vAlign w:val="center"/>
          </w:tcPr>
          <w:p w14:paraId="2E0E75DD" w14:textId="77777777" w:rsidR="00CF6D76" w:rsidRPr="00FE07AF" w:rsidRDefault="00CF6D76" w:rsidP="00DB0792">
            <w:pPr>
              <w:pStyle w:val="ListParagraph"/>
              <w:ind w:left="0"/>
              <w:rPr>
                <w:rFonts w:asciiTheme="majorHAnsi" w:hAnsiTheme="majorHAnsi"/>
                <w:sz w:val="20"/>
              </w:rPr>
            </w:pPr>
            <w:r w:rsidRPr="00FE07AF">
              <w:rPr>
                <w:rFonts w:asciiTheme="majorHAnsi" w:hAnsiTheme="majorHAnsi"/>
                <w:sz w:val="20"/>
              </w:rPr>
              <w:t>(144.62)</w:t>
            </w:r>
          </w:p>
        </w:tc>
        <w:tc>
          <w:tcPr>
            <w:tcW w:w="1277" w:type="dxa"/>
            <w:vAlign w:val="center"/>
          </w:tcPr>
          <w:p w14:paraId="7BCC662A" w14:textId="77777777" w:rsidR="00CF6D76" w:rsidRPr="00FE07AF" w:rsidRDefault="00CF6D76" w:rsidP="00923E81">
            <w:pPr>
              <w:pStyle w:val="ListParagraph"/>
              <w:ind w:left="0"/>
              <w:rPr>
                <w:rFonts w:asciiTheme="majorHAnsi" w:hAnsiTheme="majorHAnsi"/>
                <w:sz w:val="20"/>
              </w:rPr>
            </w:pPr>
            <w:r w:rsidRPr="00FE07AF">
              <w:rPr>
                <w:rFonts w:asciiTheme="majorHAnsi" w:hAnsiTheme="majorHAnsi"/>
                <w:sz w:val="20"/>
              </w:rPr>
              <w:t>39.30</w:t>
            </w:r>
          </w:p>
        </w:tc>
      </w:tr>
      <w:tr w:rsidR="00CF6D76" w:rsidRPr="00FE07AF" w14:paraId="6C548245" w14:textId="77777777" w:rsidTr="00FE07AF">
        <w:trPr>
          <w:trHeight w:val="361"/>
        </w:trPr>
        <w:tc>
          <w:tcPr>
            <w:tcW w:w="613" w:type="dxa"/>
            <w:vAlign w:val="center"/>
          </w:tcPr>
          <w:p w14:paraId="0215A0BD" w14:textId="77777777" w:rsidR="00CF6D76" w:rsidRPr="00FE07AF" w:rsidRDefault="00CF6D76" w:rsidP="00F64DF1">
            <w:pPr>
              <w:pStyle w:val="ListParagraph"/>
              <w:ind w:left="0"/>
              <w:rPr>
                <w:rFonts w:asciiTheme="majorHAnsi" w:hAnsiTheme="majorHAnsi"/>
                <w:sz w:val="20"/>
              </w:rPr>
            </w:pPr>
            <w:r w:rsidRPr="00FE07AF">
              <w:rPr>
                <w:rFonts w:asciiTheme="majorHAnsi" w:hAnsiTheme="majorHAnsi"/>
                <w:sz w:val="20"/>
              </w:rPr>
              <w:t>6</w:t>
            </w:r>
          </w:p>
        </w:tc>
        <w:tc>
          <w:tcPr>
            <w:tcW w:w="3640" w:type="dxa"/>
          </w:tcPr>
          <w:p w14:paraId="12C435E0" w14:textId="7B230105" w:rsidR="00CF6D76" w:rsidRPr="00FE07AF" w:rsidRDefault="00FE07AF" w:rsidP="008337F5">
            <w:pPr>
              <w:pStyle w:val="ListParagraph"/>
              <w:ind w:left="0"/>
              <w:rPr>
                <w:rFonts w:asciiTheme="majorHAnsi" w:hAnsiTheme="majorHAnsi"/>
                <w:sz w:val="20"/>
              </w:rPr>
            </w:pPr>
            <w:r w:rsidRPr="00FE07AF">
              <w:rPr>
                <w:rFonts w:asciiTheme="majorHAnsi" w:hAnsiTheme="majorHAnsi"/>
                <w:sz w:val="20"/>
              </w:rPr>
              <w:t xml:space="preserve">LESS: </w:t>
            </w:r>
            <w:r w:rsidR="00CF6D76" w:rsidRPr="00FE07AF">
              <w:rPr>
                <w:rFonts w:asciiTheme="majorHAnsi" w:hAnsiTheme="majorHAnsi"/>
                <w:sz w:val="20"/>
              </w:rPr>
              <w:t xml:space="preserve">Revenue </w:t>
            </w:r>
            <w:r w:rsidR="008337F5">
              <w:rPr>
                <w:rFonts w:asciiTheme="majorHAnsi" w:hAnsiTheme="majorHAnsi"/>
                <w:sz w:val="20"/>
              </w:rPr>
              <w:t xml:space="preserve">allocated to old stations which was already </w:t>
            </w:r>
            <w:r w:rsidR="00CF6D76" w:rsidRPr="00FE07AF">
              <w:rPr>
                <w:rFonts w:asciiTheme="majorHAnsi" w:hAnsiTheme="majorHAnsi"/>
                <w:sz w:val="20"/>
              </w:rPr>
              <w:t>adju</w:t>
            </w:r>
            <w:r w:rsidR="008337F5">
              <w:rPr>
                <w:rFonts w:asciiTheme="majorHAnsi" w:hAnsiTheme="majorHAnsi"/>
                <w:sz w:val="20"/>
              </w:rPr>
              <w:t>sted by Commission in FY2017-18</w:t>
            </w:r>
          </w:p>
        </w:tc>
        <w:tc>
          <w:tcPr>
            <w:tcW w:w="1134" w:type="dxa"/>
            <w:vAlign w:val="center"/>
          </w:tcPr>
          <w:p w14:paraId="0C53833C" w14:textId="77777777" w:rsidR="00CF6D76" w:rsidRPr="00FE07AF" w:rsidRDefault="00CF6D76" w:rsidP="00923E81">
            <w:pPr>
              <w:pStyle w:val="ListParagraph"/>
              <w:ind w:left="0"/>
              <w:rPr>
                <w:rFonts w:asciiTheme="majorHAnsi" w:hAnsiTheme="majorHAnsi" w:cs="Calibri"/>
                <w:sz w:val="20"/>
              </w:rPr>
            </w:pPr>
            <w:r w:rsidRPr="00FE07AF">
              <w:rPr>
                <w:rFonts w:asciiTheme="majorHAnsi" w:hAnsiTheme="majorHAnsi" w:cs="Calibri"/>
                <w:sz w:val="20"/>
              </w:rPr>
              <w:t>-</w:t>
            </w:r>
          </w:p>
        </w:tc>
        <w:tc>
          <w:tcPr>
            <w:tcW w:w="992" w:type="dxa"/>
            <w:vAlign w:val="center"/>
          </w:tcPr>
          <w:p w14:paraId="7ADE4965" w14:textId="77777777" w:rsidR="00CF6D76" w:rsidRPr="00FE07AF" w:rsidRDefault="00CF6D76" w:rsidP="00923E81">
            <w:pPr>
              <w:pStyle w:val="ListParagraph"/>
              <w:ind w:left="0"/>
              <w:rPr>
                <w:rFonts w:asciiTheme="majorHAnsi" w:hAnsiTheme="majorHAnsi" w:cs="Calibri"/>
                <w:sz w:val="20"/>
              </w:rPr>
            </w:pPr>
            <w:r w:rsidRPr="00FE07AF">
              <w:rPr>
                <w:rFonts w:asciiTheme="majorHAnsi" w:hAnsiTheme="majorHAnsi" w:cs="Calibri"/>
                <w:sz w:val="20"/>
              </w:rPr>
              <w:t>-</w:t>
            </w:r>
          </w:p>
        </w:tc>
        <w:tc>
          <w:tcPr>
            <w:tcW w:w="992" w:type="dxa"/>
            <w:vAlign w:val="center"/>
          </w:tcPr>
          <w:p w14:paraId="3CB2952A" w14:textId="77777777" w:rsidR="00CF6D76" w:rsidRPr="00FE07AF" w:rsidRDefault="00CF6D76" w:rsidP="00923E81">
            <w:pPr>
              <w:pStyle w:val="ListParagraph"/>
              <w:ind w:left="0"/>
              <w:rPr>
                <w:rFonts w:asciiTheme="majorHAnsi" w:hAnsiTheme="majorHAnsi" w:cs="Calibri"/>
                <w:sz w:val="20"/>
              </w:rPr>
            </w:pPr>
            <w:r w:rsidRPr="00FE07AF">
              <w:rPr>
                <w:rFonts w:asciiTheme="majorHAnsi" w:hAnsiTheme="majorHAnsi" w:cs="Calibri"/>
                <w:sz w:val="20"/>
              </w:rPr>
              <w:t>-</w:t>
            </w:r>
          </w:p>
        </w:tc>
        <w:tc>
          <w:tcPr>
            <w:tcW w:w="1134" w:type="dxa"/>
            <w:vAlign w:val="center"/>
          </w:tcPr>
          <w:p w14:paraId="2A112E45" w14:textId="77777777" w:rsidR="00CF6D76" w:rsidRPr="00FE07AF" w:rsidRDefault="00CF6D76" w:rsidP="00F96091">
            <w:pPr>
              <w:pStyle w:val="ListParagraph"/>
              <w:ind w:left="0"/>
              <w:rPr>
                <w:rFonts w:asciiTheme="majorHAnsi" w:hAnsiTheme="majorHAnsi" w:cs="Calibri"/>
                <w:sz w:val="20"/>
              </w:rPr>
            </w:pPr>
            <w:r w:rsidRPr="00FE07AF">
              <w:rPr>
                <w:rFonts w:asciiTheme="majorHAnsi" w:hAnsiTheme="majorHAnsi"/>
                <w:sz w:val="20"/>
              </w:rPr>
              <w:t xml:space="preserve">82.26 </w:t>
            </w:r>
          </w:p>
        </w:tc>
        <w:tc>
          <w:tcPr>
            <w:tcW w:w="1277" w:type="dxa"/>
            <w:vAlign w:val="center"/>
          </w:tcPr>
          <w:p w14:paraId="7028E7E0" w14:textId="77777777" w:rsidR="00CF6D76" w:rsidRPr="00FE07AF" w:rsidRDefault="00CF6D76" w:rsidP="00F64DF1">
            <w:pPr>
              <w:pStyle w:val="ListParagraph"/>
              <w:ind w:left="0"/>
              <w:rPr>
                <w:rFonts w:asciiTheme="majorHAnsi" w:hAnsiTheme="majorHAnsi"/>
                <w:sz w:val="20"/>
              </w:rPr>
            </w:pPr>
            <w:r w:rsidRPr="00FE07AF">
              <w:rPr>
                <w:rFonts w:asciiTheme="majorHAnsi" w:hAnsiTheme="majorHAnsi"/>
                <w:sz w:val="20"/>
              </w:rPr>
              <w:t>82.26</w:t>
            </w:r>
          </w:p>
        </w:tc>
      </w:tr>
      <w:tr w:rsidR="00CF6D76" w:rsidRPr="00FE07AF" w14:paraId="4D0BC1D2" w14:textId="77777777" w:rsidTr="00FE07AF">
        <w:trPr>
          <w:trHeight w:val="361"/>
        </w:trPr>
        <w:tc>
          <w:tcPr>
            <w:tcW w:w="613" w:type="dxa"/>
            <w:vAlign w:val="center"/>
          </w:tcPr>
          <w:p w14:paraId="1AC4CAA6" w14:textId="661BEF2F" w:rsidR="00CF6D76" w:rsidRPr="00FE07AF" w:rsidRDefault="00CF6D76" w:rsidP="00F64DF1">
            <w:pPr>
              <w:pStyle w:val="ListParagraph"/>
              <w:ind w:left="0"/>
              <w:rPr>
                <w:rFonts w:asciiTheme="majorHAnsi" w:hAnsiTheme="majorHAnsi"/>
                <w:sz w:val="20"/>
              </w:rPr>
            </w:pPr>
            <w:r w:rsidRPr="00FE07AF">
              <w:rPr>
                <w:rFonts w:asciiTheme="majorHAnsi" w:hAnsiTheme="majorHAnsi"/>
                <w:sz w:val="20"/>
              </w:rPr>
              <w:t>7</w:t>
            </w:r>
          </w:p>
        </w:tc>
        <w:tc>
          <w:tcPr>
            <w:tcW w:w="3640" w:type="dxa"/>
          </w:tcPr>
          <w:p w14:paraId="0A9F1195" w14:textId="6785EE0D" w:rsidR="00CF6D76" w:rsidRPr="00FE07AF" w:rsidRDefault="00CF6D76" w:rsidP="00FE07AF">
            <w:pPr>
              <w:pStyle w:val="ListParagraph"/>
              <w:ind w:left="0"/>
              <w:rPr>
                <w:rFonts w:asciiTheme="majorHAnsi" w:hAnsiTheme="majorHAnsi"/>
                <w:b/>
                <w:sz w:val="20"/>
              </w:rPr>
            </w:pPr>
            <w:r w:rsidRPr="00FE07AF">
              <w:rPr>
                <w:rFonts w:asciiTheme="majorHAnsi" w:hAnsiTheme="majorHAnsi"/>
                <w:b/>
                <w:sz w:val="20"/>
              </w:rPr>
              <w:t>GAP to be considered for FY 2020-21 after deducting Rs.82.26 Cr. which was already adjusted by the Hon’ble Commission in FY 2017-18</w:t>
            </w:r>
            <w:r w:rsidR="00FE07AF" w:rsidRPr="00FE07AF">
              <w:rPr>
                <w:rFonts w:asciiTheme="majorHAnsi" w:hAnsiTheme="majorHAnsi"/>
                <w:b/>
                <w:sz w:val="20"/>
              </w:rPr>
              <w:t xml:space="preserve">               (</w:t>
            </w:r>
            <w:r w:rsidR="00FE07AF" w:rsidRPr="00FE07AF">
              <w:rPr>
                <w:rFonts w:asciiTheme="majorHAnsi" w:hAnsiTheme="majorHAnsi"/>
                <w:b/>
                <w:i/>
                <w:sz w:val="20"/>
              </w:rPr>
              <w:t>5-6</w:t>
            </w:r>
            <w:r w:rsidR="00FE07AF" w:rsidRPr="00FE07AF">
              <w:rPr>
                <w:rFonts w:asciiTheme="majorHAnsi" w:hAnsiTheme="majorHAnsi"/>
                <w:b/>
                <w:sz w:val="20"/>
              </w:rPr>
              <w:t>)</w:t>
            </w:r>
          </w:p>
        </w:tc>
        <w:tc>
          <w:tcPr>
            <w:tcW w:w="1134" w:type="dxa"/>
            <w:vAlign w:val="center"/>
          </w:tcPr>
          <w:p w14:paraId="13723B5A" w14:textId="61A2DD83" w:rsidR="00CF6D76" w:rsidRPr="00FE07AF" w:rsidRDefault="00CF6D76" w:rsidP="00923E81">
            <w:pPr>
              <w:pStyle w:val="ListParagraph"/>
              <w:ind w:left="0"/>
              <w:rPr>
                <w:rFonts w:asciiTheme="majorHAnsi" w:hAnsiTheme="majorHAnsi" w:cs="Calibri"/>
                <w:b/>
                <w:sz w:val="20"/>
              </w:rPr>
            </w:pPr>
            <w:r w:rsidRPr="00FE07AF">
              <w:rPr>
                <w:rFonts w:asciiTheme="majorHAnsi" w:hAnsiTheme="majorHAnsi"/>
                <w:b/>
                <w:sz w:val="20"/>
              </w:rPr>
              <w:t>107.48</w:t>
            </w:r>
          </w:p>
        </w:tc>
        <w:tc>
          <w:tcPr>
            <w:tcW w:w="992" w:type="dxa"/>
            <w:vAlign w:val="center"/>
          </w:tcPr>
          <w:p w14:paraId="205BA458" w14:textId="4018DB22" w:rsidR="00CF6D76" w:rsidRPr="00FE07AF" w:rsidRDefault="00CF6D76" w:rsidP="00923E81">
            <w:pPr>
              <w:pStyle w:val="ListParagraph"/>
              <w:ind w:left="0"/>
              <w:rPr>
                <w:rFonts w:asciiTheme="majorHAnsi" w:hAnsiTheme="majorHAnsi" w:cs="Calibri"/>
                <w:b/>
                <w:sz w:val="20"/>
              </w:rPr>
            </w:pPr>
            <w:r w:rsidRPr="00FE07AF">
              <w:rPr>
                <w:rFonts w:asciiTheme="majorHAnsi" w:hAnsiTheme="majorHAnsi"/>
                <w:b/>
                <w:sz w:val="20"/>
              </w:rPr>
              <w:t>75.08</w:t>
            </w:r>
          </w:p>
        </w:tc>
        <w:tc>
          <w:tcPr>
            <w:tcW w:w="992" w:type="dxa"/>
            <w:vAlign w:val="center"/>
          </w:tcPr>
          <w:p w14:paraId="76BC83BB" w14:textId="149B7A73" w:rsidR="00CF6D76" w:rsidRPr="00FE07AF" w:rsidRDefault="00CF6D76" w:rsidP="00923E81">
            <w:pPr>
              <w:pStyle w:val="ListParagraph"/>
              <w:ind w:left="0"/>
              <w:rPr>
                <w:rFonts w:asciiTheme="majorHAnsi" w:hAnsiTheme="majorHAnsi" w:cs="Calibri"/>
                <w:b/>
                <w:sz w:val="20"/>
              </w:rPr>
            </w:pPr>
            <w:r w:rsidRPr="00FE07AF">
              <w:rPr>
                <w:rFonts w:asciiTheme="majorHAnsi" w:hAnsiTheme="majorHAnsi"/>
                <w:b/>
                <w:sz w:val="20"/>
              </w:rPr>
              <w:t>1.36</w:t>
            </w:r>
          </w:p>
        </w:tc>
        <w:tc>
          <w:tcPr>
            <w:tcW w:w="1134" w:type="dxa"/>
            <w:vAlign w:val="center"/>
          </w:tcPr>
          <w:p w14:paraId="39168CE1" w14:textId="2BB5521D" w:rsidR="00CF6D76" w:rsidRPr="00FE07AF" w:rsidRDefault="00CF6D76" w:rsidP="00F96091">
            <w:pPr>
              <w:pStyle w:val="ListParagraph"/>
              <w:ind w:left="0"/>
              <w:rPr>
                <w:rFonts w:asciiTheme="majorHAnsi" w:hAnsiTheme="majorHAnsi"/>
                <w:b/>
                <w:sz w:val="20"/>
              </w:rPr>
            </w:pPr>
            <w:r w:rsidRPr="00FE07AF">
              <w:rPr>
                <w:rFonts w:asciiTheme="majorHAnsi" w:hAnsiTheme="majorHAnsi"/>
                <w:b/>
                <w:sz w:val="20"/>
              </w:rPr>
              <w:t>(62.36)</w:t>
            </w:r>
          </w:p>
        </w:tc>
        <w:tc>
          <w:tcPr>
            <w:tcW w:w="1277" w:type="dxa"/>
            <w:vAlign w:val="center"/>
          </w:tcPr>
          <w:p w14:paraId="3127559A" w14:textId="180A67BB" w:rsidR="00CF6D76" w:rsidRPr="00FE07AF" w:rsidRDefault="00FE07AF" w:rsidP="00F64DF1">
            <w:pPr>
              <w:pStyle w:val="ListParagraph"/>
              <w:ind w:left="0"/>
              <w:rPr>
                <w:rFonts w:asciiTheme="majorHAnsi" w:hAnsiTheme="majorHAnsi"/>
                <w:b/>
                <w:sz w:val="20"/>
              </w:rPr>
            </w:pPr>
            <w:r w:rsidRPr="00FE07AF">
              <w:rPr>
                <w:rFonts w:asciiTheme="majorHAnsi" w:hAnsiTheme="majorHAnsi"/>
                <w:b/>
                <w:sz w:val="20"/>
              </w:rPr>
              <w:t>121.56</w:t>
            </w:r>
          </w:p>
        </w:tc>
      </w:tr>
      <w:tr w:rsidR="00E01B5E" w:rsidRPr="00FE07AF" w14:paraId="3250546A" w14:textId="77777777" w:rsidTr="00FE07AF">
        <w:trPr>
          <w:trHeight w:val="361"/>
        </w:trPr>
        <w:tc>
          <w:tcPr>
            <w:tcW w:w="613" w:type="dxa"/>
            <w:vAlign w:val="center"/>
          </w:tcPr>
          <w:p w14:paraId="77E3A365" w14:textId="51B6F049" w:rsidR="00E01B5E" w:rsidRPr="00FE07AF" w:rsidRDefault="00E01B5E" w:rsidP="00F64DF1">
            <w:pPr>
              <w:pStyle w:val="ListParagraph"/>
              <w:ind w:left="0"/>
              <w:rPr>
                <w:rFonts w:asciiTheme="majorHAnsi" w:hAnsiTheme="majorHAnsi"/>
                <w:sz w:val="20"/>
              </w:rPr>
            </w:pPr>
            <w:r>
              <w:rPr>
                <w:rFonts w:asciiTheme="majorHAnsi" w:hAnsiTheme="majorHAnsi"/>
                <w:sz w:val="20"/>
              </w:rPr>
              <w:t>8</w:t>
            </w:r>
          </w:p>
        </w:tc>
        <w:tc>
          <w:tcPr>
            <w:tcW w:w="3640" w:type="dxa"/>
          </w:tcPr>
          <w:p w14:paraId="73004164" w14:textId="244D662F" w:rsidR="00E01B5E" w:rsidRPr="00FE07AF" w:rsidRDefault="00E01B5E" w:rsidP="00E01B5E">
            <w:pPr>
              <w:pStyle w:val="ListParagraph"/>
              <w:ind w:left="0"/>
              <w:rPr>
                <w:rFonts w:asciiTheme="majorHAnsi" w:hAnsiTheme="majorHAnsi"/>
                <w:b/>
                <w:sz w:val="20"/>
              </w:rPr>
            </w:pPr>
            <w:r>
              <w:rPr>
                <w:rFonts w:asciiTheme="majorHAnsi" w:hAnsiTheme="majorHAnsi"/>
                <w:b/>
                <w:sz w:val="20"/>
              </w:rPr>
              <w:t xml:space="preserve">Additional </w:t>
            </w:r>
            <w:r w:rsidRPr="00FE07AF">
              <w:rPr>
                <w:rFonts w:asciiTheme="majorHAnsi" w:hAnsiTheme="majorHAnsi"/>
                <w:b/>
                <w:sz w:val="20"/>
              </w:rPr>
              <w:t xml:space="preserve">GAP to be considered for FY 2020-21 </w:t>
            </w:r>
            <w:r>
              <w:rPr>
                <w:rFonts w:asciiTheme="majorHAnsi" w:hAnsiTheme="majorHAnsi"/>
                <w:b/>
                <w:sz w:val="20"/>
              </w:rPr>
              <w:t>to be</w:t>
            </w:r>
            <w:r w:rsidRPr="00FE07AF">
              <w:rPr>
                <w:rFonts w:asciiTheme="majorHAnsi" w:hAnsiTheme="majorHAnsi"/>
                <w:b/>
                <w:sz w:val="20"/>
              </w:rPr>
              <w:t xml:space="preserve"> adjusted </w:t>
            </w:r>
            <w:r>
              <w:rPr>
                <w:rFonts w:asciiTheme="majorHAnsi" w:hAnsiTheme="majorHAnsi"/>
                <w:b/>
                <w:sz w:val="20"/>
              </w:rPr>
              <w:t>in</w:t>
            </w:r>
            <w:r w:rsidRPr="00FE07AF">
              <w:rPr>
                <w:rFonts w:asciiTheme="majorHAnsi" w:hAnsiTheme="majorHAnsi"/>
                <w:b/>
                <w:sz w:val="20"/>
              </w:rPr>
              <w:t xml:space="preserve"> FY </w:t>
            </w:r>
            <w:r>
              <w:rPr>
                <w:rFonts w:asciiTheme="majorHAnsi" w:hAnsiTheme="majorHAnsi"/>
                <w:b/>
                <w:sz w:val="20"/>
              </w:rPr>
              <w:t>2023-24</w:t>
            </w:r>
            <w:r w:rsidRPr="00FE07AF">
              <w:rPr>
                <w:rFonts w:asciiTheme="majorHAnsi" w:hAnsiTheme="majorHAnsi"/>
                <w:b/>
                <w:sz w:val="20"/>
              </w:rPr>
              <w:t xml:space="preserve">               (</w:t>
            </w:r>
            <w:r>
              <w:rPr>
                <w:rFonts w:asciiTheme="majorHAnsi" w:hAnsiTheme="majorHAnsi"/>
                <w:b/>
                <w:i/>
                <w:sz w:val="20"/>
              </w:rPr>
              <w:t>4-7</w:t>
            </w:r>
            <w:r w:rsidRPr="00FE07AF">
              <w:rPr>
                <w:rFonts w:asciiTheme="majorHAnsi" w:hAnsiTheme="majorHAnsi"/>
                <w:b/>
                <w:sz w:val="20"/>
              </w:rPr>
              <w:t>)</w:t>
            </w:r>
          </w:p>
        </w:tc>
        <w:tc>
          <w:tcPr>
            <w:tcW w:w="1134" w:type="dxa"/>
            <w:vAlign w:val="center"/>
          </w:tcPr>
          <w:p w14:paraId="6BD98227" w14:textId="4855DA7D" w:rsidR="00E01B5E" w:rsidRPr="00FE07AF" w:rsidRDefault="00E01B5E" w:rsidP="00923E81">
            <w:pPr>
              <w:pStyle w:val="ListParagraph"/>
              <w:ind w:left="0"/>
              <w:rPr>
                <w:rFonts w:asciiTheme="majorHAnsi" w:hAnsiTheme="majorHAnsi"/>
                <w:b/>
                <w:sz w:val="20"/>
              </w:rPr>
            </w:pPr>
            <w:r>
              <w:rPr>
                <w:rFonts w:asciiTheme="majorHAnsi" w:hAnsiTheme="majorHAnsi"/>
                <w:b/>
                <w:sz w:val="20"/>
              </w:rPr>
              <w:t>36.58</w:t>
            </w:r>
          </w:p>
        </w:tc>
        <w:tc>
          <w:tcPr>
            <w:tcW w:w="992" w:type="dxa"/>
            <w:vAlign w:val="center"/>
          </w:tcPr>
          <w:p w14:paraId="1262F081" w14:textId="73152A8B" w:rsidR="00E01B5E" w:rsidRPr="00FE07AF" w:rsidRDefault="000358E0" w:rsidP="00923E81">
            <w:pPr>
              <w:pStyle w:val="ListParagraph"/>
              <w:ind w:left="0"/>
              <w:rPr>
                <w:rFonts w:asciiTheme="majorHAnsi" w:hAnsiTheme="majorHAnsi"/>
                <w:b/>
                <w:sz w:val="20"/>
              </w:rPr>
            </w:pPr>
            <w:r>
              <w:rPr>
                <w:rFonts w:asciiTheme="majorHAnsi" w:hAnsiTheme="majorHAnsi"/>
                <w:b/>
                <w:sz w:val="20"/>
              </w:rPr>
              <w:t>6.18</w:t>
            </w:r>
          </w:p>
        </w:tc>
        <w:tc>
          <w:tcPr>
            <w:tcW w:w="992" w:type="dxa"/>
            <w:vAlign w:val="center"/>
          </w:tcPr>
          <w:p w14:paraId="78B152B6" w14:textId="7692303E" w:rsidR="00E01B5E" w:rsidRPr="00FE07AF" w:rsidRDefault="00E01B5E" w:rsidP="00923E81">
            <w:pPr>
              <w:pStyle w:val="ListParagraph"/>
              <w:ind w:left="0"/>
              <w:rPr>
                <w:rFonts w:asciiTheme="majorHAnsi" w:hAnsiTheme="majorHAnsi"/>
                <w:b/>
                <w:sz w:val="20"/>
              </w:rPr>
            </w:pPr>
            <w:r>
              <w:rPr>
                <w:rFonts w:asciiTheme="majorHAnsi" w:hAnsiTheme="majorHAnsi"/>
                <w:b/>
                <w:sz w:val="20"/>
              </w:rPr>
              <w:t>1.0</w:t>
            </w:r>
          </w:p>
        </w:tc>
        <w:tc>
          <w:tcPr>
            <w:tcW w:w="1134" w:type="dxa"/>
            <w:vAlign w:val="center"/>
          </w:tcPr>
          <w:p w14:paraId="45BF05C1" w14:textId="0E0E168D" w:rsidR="00E01B5E" w:rsidRPr="00FE07AF" w:rsidRDefault="00E01B5E" w:rsidP="00F96091">
            <w:pPr>
              <w:pStyle w:val="ListParagraph"/>
              <w:ind w:left="0"/>
              <w:rPr>
                <w:rFonts w:asciiTheme="majorHAnsi" w:hAnsiTheme="majorHAnsi"/>
                <w:b/>
                <w:sz w:val="20"/>
              </w:rPr>
            </w:pPr>
            <w:r>
              <w:rPr>
                <w:rFonts w:asciiTheme="majorHAnsi" w:hAnsiTheme="majorHAnsi"/>
                <w:b/>
                <w:sz w:val="20"/>
              </w:rPr>
              <w:t>4.9</w:t>
            </w:r>
            <w:r w:rsidR="000358E0">
              <w:rPr>
                <w:rFonts w:asciiTheme="majorHAnsi" w:hAnsiTheme="majorHAnsi"/>
                <w:b/>
                <w:sz w:val="20"/>
              </w:rPr>
              <w:t>2</w:t>
            </w:r>
          </w:p>
        </w:tc>
        <w:tc>
          <w:tcPr>
            <w:tcW w:w="1277" w:type="dxa"/>
            <w:vAlign w:val="center"/>
          </w:tcPr>
          <w:p w14:paraId="4C4C9DD8" w14:textId="14A98399" w:rsidR="00E01B5E" w:rsidRPr="00FE07AF" w:rsidRDefault="00E01B5E" w:rsidP="00F64DF1">
            <w:pPr>
              <w:pStyle w:val="ListParagraph"/>
              <w:ind w:left="0"/>
              <w:rPr>
                <w:rFonts w:asciiTheme="majorHAnsi" w:hAnsiTheme="majorHAnsi"/>
                <w:b/>
                <w:sz w:val="20"/>
              </w:rPr>
            </w:pPr>
            <w:r>
              <w:rPr>
                <w:rFonts w:asciiTheme="majorHAnsi" w:hAnsiTheme="majorHAnsi"/>
                <w:b/>
                <w:sz w:val="20"/>
              </w:rPr>
              <w:t>48.67</w:t>
            </w:r>
          </w:p>
        </w:tc>
      </w:tr>
    </w:tbl>
    <w:p w14:paraId="46142432" w14:textId="77777777" w:rsidR="00AB6658" w:rsidRDefault="00AB6658" w:rsidP="00455C30">
      <w:pPr>
        <w:pStyle w:val="ListParagraph"/>
        <w:ind w:left="360"/>
        <w:jc w:val="both"/>
        <w:rPr>
          <w:rFonts w:asciiTheme="majorHAnsi" w:hAnsiTheme="majorHAnsi"/>
          <w:b/>
          <w:szCs w:val="22"/>
        </w:rPr>
      </w:pPr>
    </w:p>
    <w:p w14:paraId="08EB263D" w14:textId="77777777" w:rsidR="008337F5" w:rsidRDefault="00B821CC" w:rsidP="00455C30">
      <w:pPr>
        <w:pStyle w:val="ListParagraph"/>
        <w:ind w:left="360"/>
        <w:jc w:val="both"/>
        <w:rPr>
          <w:rFonts w:asciiTheme="majorHAnsi" w:hAnsiTheme="majorHAnsi"/>
          <w:b/>
          <w:szCs w:val="22"/>
        </w:rPr>
      </w:pPr>
      <w:r w:rsidRPr="008675CA">
        <w:rPr>
          <w:rFonts w:asciiTheme="majorHAnsi" w:hAnsiTheme="majorHAnsi"/>
          <w:b/>
          <w:szCs w:val="22"/>
        </w:rPr>
        <w:t>From the table above</w:t>
      </w:r>
      <w:r w:rsidR="0045597B" w:rsidRPr="008675CA">
        <w:rPr>
          <w:rFonts w:asciiTheme="majorHAnsi" w:hAnsiTheme="majorHAnsi"/>
          <w:b/>
          <w:szCs w:val="22"/>
        </w:rPr>
        <w:t>,</w:t>
      </w:r>
      <w:r w:rsidRPr="008675CA">
        <w:rPr>
          <w:rFonts w:asciiTheme="majorHAnsi" w:hAnsiTheme="majorHAnsi"/>
          <w:b/>
          <w:szCs w:val="22"/>
        </w:rPr>
        <w:t xml:space="preserve"> the </w:t>
      </w:r>
      <w:r w:rsidR="00AB6658" w:rsidRPr="008675CA">
        <w:rPr>
          <w:rFonts w:asciiTheme="majorHAnsi" w:hAnsiTheme="majorHAnsi"/>
          <w:b/>
          <w:szCs w:val="22"/>
        </w:rPr>
        <w:t>NET GAP</w:t>
      </w:r>
      <w:r w:rsidR="00AB6658">
        <w:rPr>
          <w:rFonts w:asciiTheme="majorHAnsi" w:hAnsiTheme="majorHAnsi"/>
          <w:b/>
          <w:szCs w:val="22"/>
        </w:rPr>
        <w:t xml:space="preserve"> of MePGCL submit in the review petition for FY 2020-21 is Rs. 121.56 Cr.</w:t>
      </w:r>
      <w:r w:rsidR="00435618">
        <w:rPr>
          <w:rFonts w:asciiTheme="majorHAnsi" w:hAnsiTheme="majorHAnsi"/>
          <w:b/>
          <w:szCs w:val="22"/>
        </w:rPr>
        <w:t xml:space="preserve"> instead of Rs. 39.30 Cr. as arrived by the Hon’be Commission.</w:t>
      </w:r>
      <w:r w:rsidR="00AB6658">
        <w:rPr>
          <w:rFonts w:asciiTheme="majorHAnsi" w:hAnsiTheme="majorHAnsi"/>
          <w:b/>
          <w:szCs w:val="22"/>
        </w:rPr>
        <w:t xml:space="preserve"> </w:t>
      </w:r>
    </w:p>
    <w:p w14:paraId="2670A718" w14:textId="77777777" w:rsidR="008337F5" w:rsidRDefault="008337F5" w:rsidP="00455C30">
      <w:pPr>
        <w:pStyle w:val="ListParagraph"/>
        <w:ind w:left="360"/>
        <w:jc w:val="both"/>
        <w:rPr>
          <w:rFonts w:asciiTheme="majorHAnsi" w:hAnsiTheme="majorHAnsi"/>
          <w:b/>
          <w:szCs w:val="22"/>
        </w:rPr>
      </w:pPr>
    </w:p>
    <w:p w14:paraId="36B2C6EC" w14:textId="4D83E308" w:rsidR="00AB6658" w:rsidRDefault="00AB6658" w:rsidP="00455C30">
      <w:pPr>
        <w:pStyle w:val="ListParagraph"/>
        <w:ind w:left="360"/>
        <w:jc w:val="both"/>
        <w:rPr>
          <w:rFonts w:asciiTheme="majorHAnsi" w:hAnsiTheme="majorHAnsi"/>
          <w:b/>
          <w:szCs w:val="22"/>
        </w:rPr>
      </w:pPr>
      <w:r>
        <w:rPr>
          <w:rFonts w:asciiTheme="majorHAnsi" w:hAnsiTheme="majorHAnsi"/>
          <w:b/>
          <w:szCs w:val="22"/>
        </w:rPr>
        <w:t>Based o</w:t>
      </w:r>
      <w:r w:rsidR="00E01B5E">
        <w:rPr>
          <w:rFonts w:asciiTheme="majorHAnsi" w:hAnsiTheme="majorHAnsi"/>
          <w:b/>
          <w:szCs w:val="22"/>
        </w:rPr>
        <w:t>n the above, the additional Gap</w:t>
      </w:r>
      <w:r>
        <w:rPr>
          <w:rFonts w:asciiTheme="majorHAnsi" w:hAnsiTheme="majorHAnsi"/>
          <w:b/>
          <w:szCs w:val="22"/>
        </w:rPr>
        <w:t xml:space="preserve"> of </w:t>
      </w:r>
      <w:r w:rsidR="00812ABE" w:rsidRPr="008675CA">
        <w:rPr>
          <w:rFonts w:asciiTheme="majorHAnsi" w:hAnsiTheme="majorHAnsi"/>
          <w:b/>
          <w:szCs w:val="22"/>
        </w:rPr>
        <w:t>Rs.3</w:t>
      </w:r>
      <w:r>
        <w:rPr>
          <w:rFonts w:asciiTheme="majorHAnsi" w:hAnsiTheme="majorHAnsi"/>
          <w:b/>
          <w:szCs w:val="22"/>
        </w:rPr>
        <w:t>6.58 Cr, Rs.6.1</w:t>
      </w:r>
      <w:r w:rsidR="00E01B5E">
        <w:rPr>
          <w:rFonts w:asciiTheme="majorHAnsi" w:hAnsiTheme="majorHAnsi"/>
          <w:b/>
          <w:szCs w:val="22"/>
        </w:rPr>
        <w:t>9</w:t>
      </w:r>
      <w:r>
        <w:rPr>
          <w:rFonts w:asciiTheme="majorHAnsi" w:hAnsiTheme="majorHAnsi"/>
          <w:b/>
          <w:szCs w:val="22"/>
        </w:rPr>
        <w:t xml:space="preserve"> Cr., Rs. 1.0</w:t>
      </w:r>
      <w:r w:rsidR="00812ABE" w:rsidRPr="008675CA">
        <w:rPr>
          <w:rFonts w:asciiTheme="majorHAnsi" w:hAnsiTheme="majorHAnsi"/>
          <w:b/>
          <w:szCs w:val="22"/>
        </w:rPr>
        <w:t xml:space="preserve"> Cr. a</w:t>
      </w:r>
      <w:r w:rsidR="00E01B5E">
        <w:rPr>
          <w:rFonts w:asciiTheme="majorHAnsi" w:hAnsiTheme="majorHAnsi"/>
          <w:b/>
          <w:szCs w:val="22"/>
        </w:rPr>
        <w:t>nd Rs.4.9</w:t>
      </w:r>
      <w:r w:rsidR="000358E0">
        <w:rPr>
          <w:rFonts w:asciiTheme="majorHAnsi" w:hAnsiTheme="majorHAnsi"/>
          <w:b/>
          <w:szCs w:val="22"/>
        </w:rPr>
        <w:t>2</w:t>
      </w:r>
      <w:r w:rsidR="00812ABE" w:rsidRPr="008675CA">
        <w:rPr>
          <w:rFonts w:asciiTheme="majorHAnsi" w:hAnsiTheme="majorHAnsi"/>
          <w:b/>
          <w:szCs w:val="22"/>
        </w:rPr>
        <w:t xml:space="preserve"> Cr for MLHEP, NUHEP, Lakroh and Old stations including Sonapani, respectively</w:t>
      </w:r>
      <w:r>
        <w:rPr>
          <w:rFonts w:asciiTheme="majorHAnsi" w:hAnsiTheme="majorHAnsi"/>
          <w:b/>
          <w:szCs w:val="22"/>
        </w:rPr>
        <w:t xml:space="preserve">, which has to be adjusted in the review petition for FY 2023-24. </w:t>
      </w:r>
    </w:p>
    <w:p w14:paraId="4D2B40C3" w14:textId="77777777" w:rsidR="00AB6658" w:rsidRDefault="00AB6658" w:rsidP="00455C30">
      <w:pPr>
        <w:pStyle w:val="ListParagraph"/>
        <w:ind w:left="360"/>
        <w:jc w:val="both"/>
        <w:rPr>
          <w:rFonts w:asciiTheme="majorHAnsi" w:hAnsiTheme="majorHAnsi"/>
          <w:b/>
          <w:szCs w:val="22"/>
        </w:rPr>
      </w:pPr>
    </w:p>
    <w:p w14:paraId="78AE629D" w14:textId="77777777" w:rsidR="00C16192" w:rsidRPr="008675CA" w:rsidRDefault="00C16192" w:rsidP="00DF2D3B">
      <w:pPr>
        <w:tabs>
          <w:tab w:val="left" w:pos="6208"/>
        </w:tabs>
        <w:rPr>
          <w:rFonts w:asciiTheme="majorHAnsi" w:hAnsiTheme="majorHAnsi"/>
        </w:rPr>
      </w:pPr>
    </w:p>
    <w:sectPr w:rsidR="00C16192" w:rsidRPr="008675CA" w:rsidSect="00590FC6">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F77BAA" w14:textId="77777777" w:rsidR="00B16B91" w:rsidRDefault="00B16B91" w:rsidP="00625F5D">
      <w:pPr>
        <w:spacing w:after="0" w:line="240" w:lineRule="auto"/>
      </w:pPr>
      <w:r>
        <w:separator/>
      </w:r>
    </w:p>
  </w:endnote>
  <w:endnote w:type="continuationSeparator" w:id="0">
    <w:p w14:paraId="0EF62872" w14:textId="77777777" w:rsidR="00B16B91" w:rsidRDefault="00B16B91" w:rsidP="00625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4239"/>
      <w:docPartObj>
        <w:docPartGallery w:val="Page Numbers (Bottom of Page)"/>
        <w:docPartUnique/>
      </w:docPartObj>
    </w:sdtPr>
    <w:sdtEndPr/>
    <w:sdtContent>
      <w:p w14:paraId="0FA7262E" w14:textId="77777777" w:rsidR="00201045" w:rsidRDefault="00201045">
        <w:pPr>
          <w:pStyle w:val="Footer"/>
          <w:jc w:val="right"/>
        </w:pPr>
        <w:r>
          <w:rPr>
            <w:noProof/>
          </w:rPr>
          <w:fldChar w:fldCharType="begin"/>
        </w:r>
        <w:r>
          <w:rPr>
            <w:noProof/>
          </w:rPr>
          <w:instrText xml:space="preserve"> PAGE   \* MERGEFORMAT </w:instrText>
        </w:r>
        <w:r>
          <w:rPr>
            <w:noProof/>
          </w:rPr>
          <w:fldChar w:fldCharType="separate"/>
        </w:r>
        <w:r w:rsidR="004C1C6B">
          <w:rPr>
            <w:noProof/>
          </w:rPr>
          <w:t>1</w:t>
        </w:r>
        <w:r>
          <w:rPr>
            <w:noProof/>
          </w:rPr>
          <w:fldChar w:fldCharType="end"/>
        </w:r>
      </w:p>
    </w:sdtContent>
  </w:sdt>
  <w:p w14:paraId="1A706165" w14:textId="77777777" w:rsidR="00201045" w:rsidRDefault="002010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FDA22" w14:textId="77777777" w:rsidR="00B16B91" w:rsidRDefault="00B16B91" w:rsidP="00625F5D">
      <w:pPr>
        <w:spacing w:after="0" w:line="240" w:lineRule="auto"/>
      </w:pPr>
      <w:r>
        <w:separator/>
      </w:r>
    </w:p>
  </w:footnote>
  <w:footnote w:type="continuationSeparator" w:id="0">
    <w:p w14:paraId="149A04A6" w14:textId="77777777" w:rsidR="00B16B91" w:rsidRDefault="00B16B91" w:rsidP="00625F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A29D1" w14:textId="450152BE" w:rsidR="00201045" w:rsidRPr="006B51B9" w:rsidRDefault="00201045" w:rsidP="006B51B9">
    <w:pPr>
      <w:pStyle w:val="Header"/>
      <w:jc w:val="right"/>
      <w:rPr>
        <w:rFonts w:asciiTheme="majorHAnsi" w:hAnsiTheme="majorHAnsi"/>
        <w:i/>
        <w:sz w:val="20"/>
        <w:lang w:val="en-IN"/>
      </w:rPr>
    </w:pPr>
    <w:r w:rsidRPr="006B51B9">
      <w:rPr>
        <w:rFonts w:asciiTheme="majorHAnsi" w:hAnsiTheme="majorHAnsi"/>
        <w:i/>
        <w:sz w:val="20"/>
        <w:lang w:val="en-IN"/>
      </w:rPr>
      <w:t>Review petition of True Up order for FY 2020-21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16E4"/>
    <w:multiLevelType w:val="multilevel"/>
    <w:tmpl w:val="DEACFFF2"/>
    <w:lvl w:ilvl="0">
      <w:start w:val="3"/>
      <w:numFmt w:val="decimal"/>
      <w:lvlText w:val="%1.0"/>
      <w:lvlJc w:val="left"/>
      <w:pPr>
        <w:ind w:left="1080" w:hanging="7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8280" w:hanging="2160"/>
      </w:pPr>
      <w:rPr>
        <w:rFonts w:hint="default"/>
      </w:rPr>
    </w:lvl>
  </w:abstractNum>
  <w:abstractNum w:abstractNumId="1">
    <w:nsid w:val="09634997"/>
    <w:multiLevelType w:val="hybridMultilevel"/>
    <w:tmpl w:val="4E8EF408"/>
    <w:lvl w:ilvl="0" w:tplc="95E28846">
      <w:start w:val="1"/>
      <w:numFmt w:val="decimal"/>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2">
    <w:nsid w:val="0A7B48C9"/>
    <w:multiLevelType w:val="hybridMultilevel"/>
    <w:tmpl w:val="0C94F9DE"/>
    <w:lvl w:ilvl="0" w:tplc="04090019">
      <w:start w:val="1"/>
      <w:numFmt w:val="lowerLetter"/>
      <w:lvlText w:val="%1."/>
      <w:lvlJc w:val="left"/>
      <w:pPr>
        <w:ind w:left="1440" w:hanging="360"/>
      </w:pPr>
    </w:lvl>
    <w:lvl w:ilvl="1" w:tplc="04090019">
      <w:start w:val="1"/>
      <w:numFmt w:val="lowerLetter"/>
      <w:pStyle w:val="Style4"/>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BBE35DE"/>
    <w:multiLevelType w:val="hybridMultilevel"/>
    <w:tmpl w:val="BDF04F8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403CC"/>
    <w:multiLevelType w:val="hybridMultilevel"/>
    <w:tmpl w:val="E870C1E4"/>
    <w:lvl w:ilvl="0" w:tplc="218C601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DE502E"/>
    <w:multiLevelType w:val="multilevel"/>
    <w:tmpl w:val="A68CC59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646" w:hanging="504"/>
      </w:pPr>
      <w:rPr>
        <w:rFonts w:ascii="Georgia" w:hAnsi="Georgi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06154A4"/>
    <w:multiLevelType w:val="hybridMultilevel"/>
    <w:tmpl w:val="AE7EBBE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1E509FE"/>
    <w:multiLevelType w:val="hybridMultilevel"/>
    <w:tmpl w:val="430A58C0"/>
    <w:lvl w:ilvl="0" w:tplc="8EA028E6">
      <w:start w:val="1"/>
      <w:numFmt w:val="decimal"/>
      <w:lvlText w:val="%1)"/>
      <w:lvlJc w:val="left"/>
      <w:pPr>
        <w:ind w:left="1211" w:hanging="36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8">
    <w:nsid w:val="26D02DF0"/>
    <w:multiLevelType w:val="hybridMultilevel"/>
    <w:tmpl w:val="511CEE78"/>
    <w:lvl w:ilvl="0" w:tplc="EE98FFC8">
      <w:start w:val="1"/>
      <w:numFmt w:val="decimal"/>
      <w:lvlText w:val="%1)"/>
      <w:lvlJc w:val="left"/>
      <w:pPr>
        <w:ind w:left="1211" w:hanging="36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9">
    <w:nsid w:val="2E535612"/>
    <w:multiLevelType w:val="hybridMultilevel"/>
    <w:tmpl w:val="591A8C62"/>
    <w:lvl w:ilvl="0" w:tplc="829AE3B2">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F417CD8"/>
    <w:multiLevelType w:val="hybridMultilevel"/>
    <w:tmpl w:val="64D4B796"/>
    <w:lvl w:ilvl="0" w:tplc="A15E259E">
      <w:start w:val="1"/>
      <w:numFmt w:val="decimal"/>
      <w:lvlText w:val="%1)"/>
      <w:lvlJc w:val="left"/>
      <w:pPr>
        <w:ind w:left="928" w:hanging="360"/>
      </w:pPr>
      <w:rPr>
        <w:rFonts w:hint="default"/>
        <w:b w:val="0"/>
        <w:bCs w:val="0"/>
      </w:rPr>
    </w:lvl>
    <w:lvl w:ilvl="1" w:tplc="40090019" w:tentative="1">
      <w:start w:val="1"/>
      <w:numFmt w:val="lowerLetter"/>
      <w:lvlText w:val="%2."/>
      <w:lvlJc w:val="left"/>
      <w:pPr>
        <w:ind w:left="1648" w:hanging="360"/>
      </w:pPr>
    </w:lvl>
    <w:lvl w:ilvl="2" w:tplc="4009001B" w:tentative="1">
      <w:start w:val="1"/>
      <w:numFmt w:val="lowerRoman"/>
      <w:lvlText w:val="%3."/>
      <w:lvlJc w:val="right"/>
      <w:pPr>
        <w:ind w:left="2368" w:hanging="180"/>
      </w:pPr>
    </w:lvl>
    <w:lvl w:ilvl="3" w:tplc="4009000F" w:tentative="1">
      <w:start w:val="1"/>
      <w:numFmt w:val="decimal"/>
      <w:lvlText w:val="%4."/>
      <w:lvlJc w:val="left"/>
      <w:pPr>
        <w:ind w:left="3088" w:hanging="360"/>
      </w:pPr>
    </w:lvl>
    <w:lvl w:ilvl="4" w:tplc="40090019" w:tentative="1">
      <w:start w:val="1"/>
      <w:numFmt w:val="lowerLetter"/>
      <w:lvlText w:val="%5."/>
      <w:lvlJc w:val="left"/>
      <w:pPr>
        <w:ind w:left="3808" w:hanging="360"/>
      </w:pPr>
    </w:lvl>
    <w:lvl w:ilvl="5" w:tplc="4009001B" w:tentative="1">
      <w:start w:val="1"/>
      <w:numFmt w:val="lowerRoman"/>
      <w:lvlText w:val="%6."/>
      <w:lvlJc w:val="right"/>
      <w:pPr>
        <w:ind w:left="4528" w:hanging="180"/>
      </w:pPr>
    </w:lvl>
    <w:lvl w:ilvl="6" w:tplc="4009000F" w:tentative="1">
      <w:start w:val="1"/>
      <w:numFmt w:val="decimal"/>
      <w:lvlText w:val="%7."/>
      <w:lvlJc w:val="left"/>
      <w:pPr>
        <w:ind w:left="5248" w:hanging="360"/>
      </w:pPr>
    </w:lvl>
    <w:lvl w:ilvl="7" w:tplc="40090019" w:tentative="1">
      <w:start w:val="1"/>
      <w:numFmt w:val="lowerLetter"/>
      <w:lvlText w:val="%8."/>
      <w:lvlJc w:val="left"/>
      <w:pPr>
        <w:ind w:left="5968" w:hanging="360"/>
      </w:pPr>
    </w:lvl>
    <w:lvl w:ilvl="8" w:tplc="4009001B" w:tentative="1">
      <w:start w:val="1"/>
      <w:numFmt w:val="lowerRoman"/>
      <w:lvlText w:val="%9."/>
      <w:lvlJc w:val="right"/>
      <w:pPr>
        <w:ind w:left="6688" w:hanging="180"/>
      </w:pPr>
    </w:lvl>
  </w:abstractNum>
  <w:abstractNum w:abstractNumId="11">
    <w:nsid w:val="3CA70A6F"/>
    <w:multiLevelType w:val="hybridMultilevel"/>
    <w:tmpl w:val="F0C8B90C"/>
    <w:lvl w:ilvl="0" w:tplc="71AA077E">
      <w:start w:val="1"/>
      <w:numFmt w:val="decimal"/>
      <w:lvlText w:val="%1)"/>
      <w:lvlJc w:val="left"/>
      <w:pPr>
        <w:ind w:left="1211" w:hanging="36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12">
    <w:nsid w:val="3D0B030A"/>
    <w:multiLevelType w:val="multilevel"/>
    <w:tmpl w:val="8B1AD7FC"/>
    <w:lvl w:ilvl="0">
      <w:start w:val="3"/>
      <w:numFmt w:val="decimal"/>
      <w:lvlText w:val="%1"/>
      <w:lvlJc w:val="left"/>
      <w:pPr>
        <w:ind w:left="360" w:hanging="360"/>
      </w:pPr>
      <w:rPr>
        <w:rFonts w:hint="default"/>
        <w:b/>
      </w:rPr>
    </w:lvl>
    <w:lvl w:ilvl="1">
      <w:start w:val="1"/>
      <w:numFmt w:val="decimal"/>
      <w:lvlText w:val="%1.%2"/>
      <w:lvlJc w:val="left"/>
      <w:pPr>
        <w:ind w:left="420" w:hanging="360"/>
      </w:pPr>
      <w:rPr>
        <w:rFonts w:hint="default"/>
        <w:b/>
      </w:rPr>
    </w:lvl>
    <w:lvl w:ilvl="2">
      <w:start w:val="1"/>
      <w:numFmt w:val="decimal"/>
      <w:lvlText w:val="%1.%2.%3"/>
      <w:lvlJc w:val="left"/>
      <w:pPr>
        <w:ind w:left="840" w:hanging="720"/>
      </w:pPr>
      <w:rPr>
        <w:rFonts w:hint="default"/>
        <w:b/>
      </w:rPr>
    </w:lvl>
    <w:lvl w:ilvl="3">
      <w:start w:val="1"/>
      <w:numFmt w:val="decimal"/>
      <w:lvlText w:val="%1.%2.%3.%4"/>
      <w:lvlJc w:val="left"/>
      <w:pPr>
        <w:ind w:left="1260" w:hanging="108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740" w:hanging="1440"/>
      </w:pPr>
      <w:rPr>
        <w:rFonts w:hint="default"/>
        <w:b/>
      </w:rPr>
    </w:lvl>
    <w:lvl w:ilvl="6">
      <w:start w:val="1"/>
      <w:numFmt w:val="decimal"/>
      <w:lvlText w:val="%1.%2.%3.%4.%5.%6.%7"/>
      <w:lvlJc w:val="left"/>
      <w:pPr>
        <w:ind w:left="1800" w:hanging="1440"/>
      </w:pPr>
      <w:rPr>
        <w:rFonts w:hint="default"/>
        <w:b/>
      </w:rPr>
    </w:lvl>
    <w:lvl w:ilvl="7">
      <w:start w:val="1"/>
      <w:numFmt w:val="decimal"/>
      <w:lvlText w:val="%1.%2.%3.%4.%5.%6.%7.%8"/>
      <w:lvlJc w:val="left"/>
      <w:pPr>
        <w:ind w:left="2220" w:hanging="1800"/>
      </w:pPr>
      <w:rPr>
        <w:rFonts w:hint="default"/>
        <w:b/>
      </w:rPr>
    </w:lvl>
    <w:lvl w:ilvl="8">
      <w:start w:val="1"/>
      <w:numFmt w:val="decimal"/>
      <w:lvlText w:val="%1.%2.%3.%4.%5.%6.%7.%8.%9"/>
      <w:lvlJc w:val="left"/>
      <w:pPr>
        <w:ind w:left="2280" w:hanging="1800"/>
      </w:pPr>
      <w:rPr>
        <w:rFonts w:hint="default"/>
        <w:b/>
      </w:rPr>
    </w:lvl>
  </w:abstractNum>
  <w:abstractNum w:abstractNumId="13">
    <w:nsid w:val="3EF75C23"/>
    <w:multiLevelType w:val="hybridMultilevel"/>
    <w:tmpl w:val="154C6176"/>
    <w:lvl w:ilvl="0" w:tplc="7236DA24">
      <w:start w:val="1"/>
      <w:numFmt w:val="upperLetter"/>
      <w:lvlText w:val="%1."/>
      <w:lvlJc w:val="left"/>
      <w:pPr>
        <w:ind w:left="810" w:hanging="360"/>
      </w:pPr>
      <w:rPr>
        <w:rFonts w:hint="default"/>
        <w:b/>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4">
    <w:nsid w:val="401F14FF"/>
    <w:multiLevelType w:val="multilevel"/>
    <w:tmpl w:val="D6DEC4B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Georgia" w:hAnsi="Georgi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8FD6830"/>
    <w:multiLevelType w:val="hybridMultilevel"/>
    <w:tmpl w:val="BD7CC138"/>
    <w:lvl w:ilvl="0" w:tplc="04090011">
      <w:start w:val="1"/>
      <w:numFmt w:val="decimal"/>
      <w:lvlText w:val="%1)"/>
      <w:lvlJc w:val="left"/>
      <w:pPr>
        <w:ind w:left="928"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B1F233E"/>
    <w:multiLevelType w:val="multilevel"/>
    <w:tmpl w:val="6DF4A090"/>
    <w:lvl w:ilvl="0">
      <w:start w:val="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nsid w:val="4EAC6A11"/>
    <w:multiLevelType w:val="hybridMultilevel"/>
    <w:tmpl w:val="00C6F040"/>
    <w:lvl w:ilvl="0" w:tplc="D518B57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F3C03E8"/>
    <w:multiLevelType w:val="multilevel"/>
    <w:tmpl w:val="4E48A63E"/>
    <w:lvl w:ilvl="0">
      <w:start w:val="1"/>
      <w:numFmt w:val="decimal"/>
      <w:lvlText w:val="%1."/>
      <w:lvlJc w:val="left"/>
      <w:pPr>
        <w:ind w:left="4680" w:hanging="360"/>
      </w:pPr>
      <w:rPr>
        <w:rFonts w:hint="default"/>
        <w:b/>
      </w:rPr>
    </w:lvl>
    <w:lvl w:ilvl="1">
      <w:start w:val="1"/>
      <w:numFmt w:val="decimal"/>
      <w:lvlText w:val="%1.%2"/>
      <w:lvlJc w:val="left"/>
      <w:pPr>
        <w:ind w:left="5112" w:hanging="432"/>
      </w:pPr>
      <w:rPr>
        <w:rFonts w:hint="default"/>
      </w:rPr>
    </w:lvl>
    <w:lvl w:ilvl="2">
      <w:start w:val="1"/>
      <w:numFmt w:val="decimal"/>
      <w:lvlText w:val="%1.%2.%3"/>
      <w:lvlJc w:val="left"/>
      <w:pPr>
        <w:ind w:left="5544" w:hanging="504"/>
      </w:pPr>
      <w:rPr>
        <w:rFonts w:hint="default"/>
      </w:rPr>
    </w:lvl>
    <w:lvl w:ilvl="3">
      <w:start w:val="1"/>
      <w:numFmt w:val="decimal"/>
      <w:lvlText w:val="%1.%2.%3.%4."/>
      <w:lvlJc w:val="left"/>
      <w:pPr>
        <w:ind w:left="6048" w:hanging="648"/>
      </w:pPr>
      <w:rPr>
        <w:rFonts w:hint="default"/>
      </w:rPr>
    </w:lvl>
    <w:lvl w:ilvl="4">
      <w:start w:val="1"/>
      <w:numFmt w:val="decimal"/>
      <w:lvlText w:val="%1.%2.%3.%4.%5."/>
      <w:lvlJc w:val="left"/>
      <w:pPr>
        <w:ind w:left="6552" w:hanging="792"/>
      </w:pPr>
      <w:rPr>
        <w:rFonts w:hint="default"/>
      </w:rPr>
    </w:lvl>
    <w:lvl w:ilvl="5">
      <w:start w:val="1"/>
      <w:numFmt w:val="decimal"/>
      <w:lvlText w:val="%1.%2.%3.%4.%5.%6."/>
      <w:lvlJc w:val="left"/>
      <w:pPr>
        <w:ind w:left="7056" w:hanging="936"/>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064" w:hanging="1224"/>
      </w:pPr>
      <w:rPr>
        <w:rFonts w:hint="default"/>
      </w:rPr>
    </w:lvl>
    <w:lvl w:ilvl="8">
      <w:start w:val="1"/>
      <w:numFmt w:val="decimal"/>
      <w:lvlText w:val="%1.%2.%3.%4.%5.%6.%7.%8.%9."/>
      <w:lvlJc w:val="left"/>
      <w:pPr>
        <w:ind w:left="8640" w:hanging="1440"/>
      </w:pPr>
      <w:rPr>
        <w:rFonts w:hint="default"/>
      </w:rPr>
    </w:lvl>
  </w:abstractNum>
  <w:abstractNum w:abstractNumId="19">
    <w:nsid w:val="531218E5"/>
    <w:multiLevelType w:val="hybridMultilevel"/>
    <w:tmpl w:val="5B5E847C"/>
    <w:lvl w:ilvl="0" w:tplc="6DDE62DA">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47481C"/>
    <w:multiLevelType w:val="multilevel"/>
    <w:tmpl w:val="276A94AA"/>
    <w:lvl w:ilvl="0">
      <w:start w:val="12"/>
      <w:numFmt w:val="decimal"/>
      <w:lvlText w:val="%1.0"/>
      <w:lvlJc w:val="left"/>
      <w:pPr>
        <w:ind w:left="112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560" w:hanging="1800"/>
      </w:pPr>
      <w:rPr>
        <w:rFonts w:hint="default"/>
      </w:rPr>
    </w:lvl>
    <w:lvl w:ilvl="8">
      <w:start w:val="1"/>
      <w:numFmt w:val="decimal"/>
      <w:lvlText w:val="%1.%2.%3.%4.%5.%6.%7.%8.%9"/>
      <w:lvlJc w:val="left"/>
      <w:pPr>
        <w:ind w:left="8280" w:hanging="1800"/>
      </w:pPr>
      <w:rPr>
        <w:rFonts w:hint="default"/>
      </w:rPr>
    </w:lvl>
  </w:abstractNum>
  <w:abstractNum w:abstractNumId="21">
    <w:nsid w:val="5FFE7004"/>
    <w:multiLevelType w:val="multilevel"/>
    <w:tmpl w:val="54187CB0"/>
    <w:lvl w:ilvl="0">
      <w:start w:val="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2">
    <w:nsid w:val="67FE44FB"/>
    <w:multiLevelType w:val="hybridMultilevel"/>
    <w:tmpl w:val="3570780C"/>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3">
    <w:nsid w:val="75DD7A60"/>
    <w:multiLevelType w:val="multilevel"/>
    <w:tmpl w:val="A18AA19E"/>
    <w:lvl w:ilvl="0">
      <w:start w:val="1"/>
      <w:numFmt w:val="decimal"/>
      <w:lvlText w:val="%1."/>
      <w:lvlJc w:val="left"/>
      <w:pPr>
        <w:ind w:left="4680" w:hanging="360"/>
      </w:pPr>
      <w:rPr>
        <w:rFonts w:hint="default"/>
      </w:rPr>
    </w:lvl>
    <w:lvl w:ilvl="1">
      <w:start w:val="1"/>
      <w:numFmt w:val="decimal"/>
      <w:pStyle w:val="Heading2"/>
      <w:lvlText w:val="%1.%2"/>
      <w:lvlJc w:val="left"/>
      <w:pPr>
        <w:ind w:left="5112" w:hanging="432"/>
      </w:pPr>
      <w:rPr>
        <w:rFonts w:hint="default"/>
        <w:b/>
      </w:rPr>
    </w:lvl>
    <w:lvl w:ilvl="2">
      <w:start w:val="1"/>
      <w:numFmt w:val="decimal"/>
      <w:lvlText w:val="%1.%2.%3"/>
      <w:lvlJc w:val="left"/>
      <w:pPr>
        <w:ind w:left="5544" w:hanging="504"/>
      </w:pPr>
      <w:rPr>
        <w:rFonts w:hint="default"/>
        <w:b/>
        <w:bCs w:val="0"/>
        <w:i w:val="0"/>
        <w:iCs w:val="0"/>
        <w:caps w:val="0"/>
        <w:smallCaps w:val="0"/>
        <w:strike w:val="0"/>
        <w:dstrike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specVanish w:val="0"/>
      </w:rPr>
    </w:lvl>
    <w:lvl w:ilvl="3">
      <w:start w:val="1"/>
      <w:numFmt w:val="decimal"/>
      <w:lvlText w:val="%1.%2.%3.%4."/>
      <w:lvlJc w:val="left"/>
      <w:pPr>
        <w:ind w:left="6048" w:hanging="648"/>
      </w:pPr>
      <w:rPr>
        <w:rFonts w:hint="default"/>
        <w:sz w:val="22"/>
        <w:szCs w:val="22"/>
      </w:rPr>
    </w:lvl>
    <w:lvl w:ilvl="4">
      <w:start w:val="1"/>
      <w:numFmt w:val="decimal"/>
      <w:lvlText w:val="%1.%2.%3.%4.%5."/>
      <w:lvlJc w:val="left"/>
      <w:pPr>
        <w:ind w:left="6552" w:hanging="792"/>
      </w:pPr>
      <w:rPr>
        <w:rFonts w:hint="default"/>
        <w:color w:val="000000" w:themeColor="text1"/>
      </w:rPr>
    </w:lvl>
    <w:lvl w:ilvl="5">
      <w:start w:val="1"/>
      <w:numFmt w:val="decimal"/>
      <w:lvlText w:val="%1.%2.%3.%4.%5.%6."/>
      <w:lvlJc w:val="left"/>
      <w:pPr>
        <w:ind w:left="7056" w:hanging="936"/>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064" w:hanging="1224"/>
      </w:pPr>
      <w:rPr>
        <w:rFonts w:hint="default"/>
      </w:rPr>
    </w:lvl>
    <w:lvl w:ilvl="8">
      <w:start w:val="1"/>
      <w:numFmt w:val="decimal"/>
      <w:lvlText w:val="%1.%2.%3.%4.%5.%6.%7.%8.%9."/>
      <w:lvlJc w:val="left"/>
      <w:pPr>
        <w:ind w:left="8640" w:hanging="1440"/>
      </w:pPr>
      <w:rPr>
        <w:rFonts w:hint="default"/>
      </w:rPr>
    </w:lvl>
  </w:abstractNum>
  <w:abstractNum w:abstractNumId="24">
    <w:nsid w:val="7A0E5053"/>
    <w:multiLevelType w:val="hybridMultilevel"/>
    <w:tmpl w:val="AE7EBBE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AF96CE3"/>
    <w:multiLevelType w:val="multilevel"/>
    <w:tmpl w:val="3770204E"/>
    <w:lvl w:ilvl="0">
      <w:start w:val="3"/>
      <w:numFmt w:val="decimal"/>
      <w:lvlText w:val="%1"/>
      <w:lvlJc w:val="left"/>
      <w:pPr>
        <w:ind w:left="480" w:hanging="480"/>
      </w:pPr>
      <w:rPr>
        <w:rFonts w:hint="default"/>
      </w:rPr>
    </w:lvl>
    <w:lvl w:ilvl="1">
      <w:start w:val="3"/>
      <w:numFmt w:val="decimal"/>
      <w:lvlText w:val="%1.%2"/>
      <w:lvlJc w:val="left"/>
      <w:pPr>
        <w:ind w:left="570" w:hanging="480"/>
      </w:pPr>
      <w:rPr>
        <w:rFonts w:hint="default"/>
      </w:rPr>
    </w:lvl>
    <w:lvl w:ilvl="2">
      <w:start w:val="4"/>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26">
    <w:nsid w:val="7F9D0E7C"/>
    <w:multiLevelType w:val="multilevel"/>
    <w:tmpl w:val="988A7AA8"/>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26"/>
  </w:num>
  <w:num w:numId="2">
    <w:abstractNumId w:val="3"/>
  </w:num>
  <w:num w:numId="3">
    <w:abstractNumId w:val="23"/>
  </w:num>
  <w:num w:numId="4">
    <w:abstractNumId w:val="18"/>
  </w:num>
  <w:num w:numId="5">
    <w:abstractNumId w:val="19"/>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2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4"/>
  </w:num>
  <w:num w:numId="13">
    <w:abstractNumId w:val="15"/>
  </w:num>
  <w:num w:numId="14">
    <w:abstractNumId w:val="6"/>
  </w:num>
  <w:num w:numId="15">
    <w:abstractNumId w:val="5"/>
  </w:num>
  <w:num w:numId="16">
    <w:abstractNumId w:val="5"/>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7"/>
  </w:num>
  <w:num w:numId="24">
    <w:abstractNumId w:val="8"/>
  </w:num>
  <w:num w:numId="25">
    <w:abstractNumId w:val="4"/>
  </w:num>
  <w:num w:numId="26">
    <w:abstractNumId w:val="2"/>
  </w:num>
  <w:num w:numId="27">
    <w:abstractNumId w:val="20"/>
  </w:num>
  <w:num w:numId="28">
    <w:abstractNumId w:val="21"/>
  </w:num>
  <w:num w:numId="29">
    <w:abstractNumId w:val="5"/>
    <w:lvlOverride w:ilvl="0">
      <w:startOverride w:val="3"/>
    </w:lvlOverride>
    <w:lvlOverride w:ilvl="1"/>
  </w:num>
  <w:num w:numId="30">
    <w:abstractNumId w:val="0"/>
  </w:num>
  <w:num w:numId="31">
    <w:abstractNumId w:val="5"/>
    <w:lvlOverride w:ilvl="0">
      <w:startOverride w:val="3"/>
    </w:lvlOverride>
    <w:lvlOverride w:ilvl="1">
      <w:startOverride w:val="4"/>
    </w:lvlOverride>
    <w:lvlOverride w:ilvl="2">
      <w:startOverride w:val="1"/>
    </w:lvlOverride>
  </w:num>
  <w:num w:numId="32">
    <w:abstractNumId w:val="5"/>
    <w:lvlOverride w:ilvl="0">
      <w:startOverride w:val="2"/>
    </w:lvlOverride>
    <w:lvlOverride w:ilvl="1">
      <w:startOverride w:val="5"/>
    </w:lvlOverride>
  </w:num>
  <w:num w:numId="33">
    <w:abstractNumId w:val="5"/>
    <w:lvlOverride w:ilvl="0">
      <w:startOverride w:val="2"/>
    </w:lvlOverride>
    <w:lvlOverride w:ilvl="1">
      <w:startOverride w:val="4"/>
    </w:lvlOverride>
    <w:lvlOverride w:ilvl="2">
      <w:startOverride w:val="5"/>
    </w:lvlOverride>
  </w:num>
  <w:num w:numId="34">
    <w:abstractNumId w:val="5"/>
    <w:lvlOverride w:ilvl="0">
      <w:startOverride w:val="3"/>
    </w:lvlOverride>
    <w:lvlOverride w:ilvl="1">
      <w:startOverride w:val="5"/>
    </w:lvlOverride>
  </w:num>
  <w:num w:numId="35">
    <w:abstractNumId w:val="17"/>
  </w:num>
  <w:num w:numId="36">
    <w:abstractNumId w:val="13"/>
  </w:num>
  <w:num w:numId="37">
    <w:abstractNumId w:val="16"/>
  </w:num>
  <w:num w:numId="38">
    <w:abstractNumId w:val="5"/>
    <w:lvlOverride w:ilvl="0">
      <w:startOverride w:val="2"/>
    </w:lvlOverride>
    <w:lvlOverride w:ilvl="1">
      <w:startOverride w:val="4"/>
    </w:lvlOverride>
  </w:num>
  <w:num w:numId="39">
    <w:abstractNumId w:val="12"/>
  </w:num>
  <w:num w:numId="40">
    <w:abstractNumId w:val="1"/>
  </w:num>
  <w:num w:numId="41">
    <w:abstractNumId w:val="10"/>
  </w:num>
  <w:num w:numId="42">
    <w:abstractNumId w:val="25"/>
  </w:num>
  <w:num w:numId="43">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D6B"/>
    <w:rsid w:val="000018C9"/>
    <w:rsid w:val="00003037"/>
    <w:rsid w:val="0000565D"/>
    <w:rsid w:val="00011ED3"/>
    <w:rsid w:val="00013E50"/>
    <w:rsid w:val="00015EEF"/>
    <w:rsid w:val="00017691"/>
    <w:rsid w:val="00017AC2"/>
    <w:rsid w:val="00020931"/>
    <w:rsid w:val="00020C0F"/>
    <w:rsid w:val="00021F20"/>
    <w:rsid w:val="000222A4"/>
    <w:rsid w:val="000233E0"/>
    <w:rsid w:val="00024287"/>
    <w:rsid w:val="00025FB6"/>
    <w:rsid w:val="000278FD"/>
    <w:rsid w:val="0003402D"/>
    <w:rsid w:val="00034D70"/>
    <w:rsid w:val="00035623"/>
    <w:rsid w:val="0003580F"/>
    <w:rsid w:val="000358E0"/>
    <w:rsid w:val="0003609C"/>
    <w:rsid w:val="0003646D"/>
    <w:rsid w:val="00041B65"/>
    <w:rsid w:val="00042CEC"/>
    <w:rsid w:val="00043EFA"/>
    <w:rsid w:val="00044907"/>
    <w:rsid w:val="00046A99"/>
    <w:rsid w:val="00047F63"/>
    <w:rsid w:val="0005051E"/>
    <w:rsid w:val="00053F83"/>
    <w:rsid w:val="0005642F"/>
    <w:rsid w:val="00061271"/>
    <w:rsid w:val="00061D93"/>
    <w:rsid w:val="0006496C"/>
    <w:rsid w:val="00070100"/>
    <w:rsid w:val="00070838"/>
    <w:rsid w:val="000765B4"/>
    <w:rsid w:val="00077D84"/>
    <w:rsid w:val="00080981"/>
    <w:rsid w:val="00081CE5"/>
    <w:rsid w:val="00083029"/>
    <w:rsid w:val="00086BE4"/>
    <w:rsid w:val="00086F70"/>
    <w:rsid w:val="00090671"/>
    <w:rsid w:val="00092846"/>
    <w:rsid w:val="0009325E"/>
    <w:rsid w:val="00095628"/>
    <w:rsid w:val="0009719E"/>
    <w:rsid w:val="000976E4"/>
    <w:rsid w:val="000A61C5"/>
    <w:rsid w:val="000B1496"/>
    <w:rsid w:val="000B255F"/>
    <w:rsid w:val="000B771D"/>
    <w:rsid w:val="000B78FE"/>
    <w:rsid w:val="000C15D5"/>
    <w:rsid w:val="000D1B92"/>
    <w:rsid w:val="000D242C"/>
    <w:rsid w:val="000D2709"/>
    <w:rsid w:val="000D2C4D"/>
    <w:rsid w:val="000D6855"/>
    <w:rsid w:val="000E38BB"/>
    <w:rsid w:val="000E4EC7"/>
    <w:rsid w:val="000E5DC7"/>
    <w:rsid w:val="000E6B9B"/>
    <w:rsid w:val="000E6CAB"/>
    <w:rsid w:val="000E7CC7"/>
    <w:rsid w:val="000F08DB"/>
    <w:rsid w:val="000F3B97"/>
    <w:rsid w:val="000F5102"/>
    <w:rsid w:val="000F5F3A"/>
    <w:rsid w:val="000F7513"/>
    <w:rsid w:val="000F7D03"/>
    <w:rsid w:val="00104302"/>
    <w:rsid w:val="0010452D"/>
    <w:rsid w:val="0010731F"/>
    <w:rsid w:val="00110F74"/>
    <w:rsid w:val="0011160F"/>
    <w:rsid w:val="001147C6"/>
    <w:rsid w:val="00114BD2"/>
    <w:rsid w:val="00114D8E"/>
    <w:rsid w:val="00115707"/>
    <w:rsid w:val="001176FF"/>
    <w:rsid w:val="00117C46"/>
    <w:rsid w:val="00122F8D"/>
    <w:rsid w:val="00123BB0"/>
    <w:rsid w:val="00124676"/>
    <w:rsid w:val="00125367"/>
    <w:rsid w:val="00125C38"/>
    <w:rsid w:val="00127854"/>
    <w:rsid w:val="001309A7"/>
    <w:rsid w:val="001319A1"/>
    <w:rsid w:val="001328BA"/>
    <w:rsid w:val="001354AC"/>
    <w:rsid w:val="00137344"/>
    <w:rsid w:val="00137725"/>
    <w:rsid w:val="0013777B"/>
    <w:rsid w:val="00137EBE"/>
    <w:rsid w:val="001407D4"/>
    <w:rsid w:val="00141BAD"/>
    <w:rsid w:val="001451A7"/>
    <w:rsid w:val="001468AC"/>
    <w:rsid w:val="00153794"/>
    <w:rsid w:val="00153E85"/>
    <w:rsid w:val="0015443B"/>
    <w:rsid w:val="001546D9"/>
    <w:rsid w:val="00156139"/>
    <w:rsid w:val="00157979"/>
    <w:rsid w:val="00157B1F"/>
    <w:rsid w:val="0016055E"/>
    <w:rsid w:val="0016129C"/>
    <w:rsid w:val="00161F57"/>
    <w:rsid w:val="001640B6"/>
    <w:rsid w:val="001651A5"/>
    <w:rsid w:val="001658E9"/>
    <w:rsid w:val="00166055"/>
    <w:rsid w:val="00167D30"/>
    <w:rsid w:val="001702A3"/>
    <w:rsid w:val="0017117C"/>
    <w:rsid w:val="00172516"/>
    <w:rsid w:val="00172DA3"/>
    <w:rsid w:val="00173225"/>
    <w:rsid w:val="00174C69"/>
    <w:rsid w:val="00176C38"/>
    <w:rsid w:val="00176DDE"/>
    <w:rsid w:val="00176FCC"/>
    <w:rsid w:val="0017765F"/>
    <w:rsid w:val="00184248"/>
    <w:rsid w:val="0018712D"/>
    <w:rsid w:val="0019537B"/>
    <w:rsid w:val="0019542E"/>
    <w:rsid w:val="001A09CD"/>
    <w:rsid w:val="001A0FFB"/>
    <w:rsid w:val="001A5ABF"/>
    <w:rsid w:val="001A61C0"/>
    <w:rsid w:val="001B12E2"/>
    <w:rsid w:val="001B2726"/>
    <w:rsid w:val="001B4D0F"/>
    <w:rsid w:val="001B7C57"/>
    <w:rsid w:val="001C2946"/>
    <w:rsid w:val="001C5AAB"/>
    <w:rsid w:val="001D3964"/>
    <w:rsid w:val="001D7514"/>
    <w:rsid w:val="001D787A"/>
    <w:rsid w:val="001D7D1D"/>
    <w:rsid w:val="001E13C0"/>
    <w:rsid w:val="001E790A"/>
    <w:rsid w:val="001F09D1"/>
    <w:rsid w:val="001F1410"/>
    <w:rsid w:val="001F23BE"/>
    <w:rsid w:val="001F3030"/>
    <w:rsid w:val="001F3EBA"/>
    <w:rsid w:val="001F4BDF"/>
    <w:rsid w:val="001F6611"/>
    <w:rsid w:val="001F6D98"/>
    <w:rsid w:val="001F7874"/>
    <w:rsid w:val="00201045"/>
    <w:rsid w:val="00201239"/>
    <w:rsid w:val="00201AE9"/>
    <w:rsid w:val="00201D88"/>
    <w:rsid w:val="0020278B"/>
    <w:rsid w:val="002045C0"/>
    <w:rsid w:val="002100D7"/>
    <w:rsid w:val="00210FF9"/>
    <w:rsid w:val="00211DDC"/>
    <w:rsid w:val="00211E8B"/>
    <w:rsid w:val="00215BA7"/>
    <w:rsid w:val="00216CB1"/>
    <w:rsid w:val="0021705C"/>
    <w:rsid w:val="00220C25"/>
    <w:rsid w:val="00221D67"/>
    <w:rsid w:val="002233FF"/>
    <w:rsid w:val="00224AAF"/>
    <w:rsid w:val="0022606C"/>
    <w:rsid w:val="00227597"/>
    <w:rsid w:val="00234E2B"/>
    <w:rsid w:val="00235EDB"/>
    <w:rsid w:val="00237A1A"/>
    <w:rsid w:val="002437CD"/>
    <w:rsid w:val="00244BC7"/>
    <w:rsid w:val="002455ED"/>
    <w:rsid w:val="00246AFE"/>
    <w:rsid w:val="002521C6"/>
    <w:rsid w:val="002531D6"/>
    <w:rsid w:val="0025400B"/>
    <w:rsid w:val="00256A91"/>
    <w:rsid w:val="00257F6E"/>
    <w:rsid w:val="002621EE"/>
    <w:rsid w:val="002627E3"/>
    <w:rsid w:val="00265343"/>
    <w:rsid w:val="002656FF"/>
    <w:rsid w:val="00265879"/>
    <w:rsid w:val="002658EE"/>
    <w:rsid w:val="00272F08"/>
    <w:rsid w:val="0027559C"/>
    <w:rsid w:val="002777D2"/>
    <w:rsid w:val="0028116E"/>
    <w:rsid w:val="00282601"/>
    <w:rsid w:val="00283490"/>
    <w:rsid w:val="00283CFC"/>
    <w:rsid w:val="00283FA4"/>
    <w:rsid w:val="002845FE"/>
    <w:rsid w:val="00286607"/>
    <w:rsid w:val="00286AEB"/>
    <w:rsid w:val="00291039"/>
    <w:rsid w:val="00291951"/>
    <w:rsid w:val="00293D6F"/>
    <w:rsid w:val="00295E6E"/>
    <w:rsid w:val="002A30DC"/>
    <w:rsid w:val="002A3B3D"/>
    <w:rsid w:val="002A3FFB"/>
    <w:rsid w:val="002A5075"/>
    <w:rsid w:val="002A59AC"/>
    <w:rsid w:val="002A65BF"/>
    <w:rsid w:val="002B1566"/>
    <w:rsid w:val="002B39D1"/>
    <w:rsid w:val="002B6E94"/>
    <w:rsid w:val="002C055C"/>
    <w:rsid w:val="002C1F93"/>
    <w:rsid w:val="002C3766"/>
    <w:rsid w:val="002D14C8"/>
    <w:rsid w:val="002D35B5"/>
    <w:rsid w:val="002D35C3"/>
    <w:rsid w:val="002E1A63"/>
    <w:rsid w:val="002E7F7D"/>
    <w:rsid w:val="002F14E7"/>
    <w:rsid w:val="002F1F74"/>
    <w:rsid w:val="002F2D20"/>
    <w:rsid w:val="002F626D"/>
    <w:rsid w:val="002F647D"/>
    <w:rsid w:val="002F6678"/>
    <w:rsid w:val="00300C65"/>
    <w:rsid w:val="00301ECD"/>
    <w:rsid w:val="003023CC"/>
    <w:rsid w:val="00302670"/>
    <w:rsid w:val="003037FC"/>
    <w:rsid w:val="0031026F"/>
    <w:rsid w:val="00310601"/>
    <w:rsid w:val="00315FCF"/>
    <w:rsid w:val="003203DA"/>
    <w:rsid w:val="00320C9E"/>
    <w:rsid w:val="0032259B"/>
    <w:rsid w:val="00322E59"/>
    <w:rsid w:val="00323A85"/>
    <w:rsid w:val="00323E2D"/>
    <w:rsid w:val="00327619"/>
    <w:rsid w:val="00331808"/>
    <w:rsid w:val="00331DB4"/>
    <w:rsid w:val="003344F8"/>
    <w:rsid w:val="003366BF"/>
    <w:rsid w:val="00336A2C"/>
    <w:rsid w:val="003370E8"/>
    <w:rsid w:val="003406EA"/>
    <w:rsid w:val="00340C29"/>
    <w:rsid w:val="00340C77"/>
    <w:rsid w:val="00341949"/>
    <w:rsid w:val="00341B6D"/>
    <w:rsid w:val="003443BD"/>
    <w:rsid w:val="00344931"/>
    <w:rsid w:val="003450C5"/>
    <w:rsid w:val="00345C60"/>
    <w:rsid w:val="0034651E"/>
    <w:rsid w:val="00352145"/>
    <w:rsid w:val="00361BD5"/>
    <w:rsid w:val="003628E8"/>
    <w:rsid w:val="00362929"/>
    <w:rsid w:val="00363317"/>
    <w:rsid w:val="003635C2"/>
    <w:rsid w:val="00363B95"/>
    <w:rsid w:val="00366B0A"/>
    <w:rsid w:val="00366E94"/>
    <w:rsid w:val="00370486"/>
    <w:rsid w:val="00370D15"/>
    <w:rsid w:val="0037292C"/>
    <w:rsid w:val="00372DCD"/>
    <w:rsid w:val="003734C6"/>
    <w:rsid w:val="003753B4"/>
    <w:rsid w:val="00375D90"/>
    <w:rsid w:val="003813BB"/>
    <w:rsid w:val="00386370"/>
    <w:rsid w:val="00386C15"/>
    <w:rsid w:val="003907AC"/>
    <w:rsid w:val="00391787"/>
    <w:rsid w:val="003939D6"/>
    <w:rsid w:val="00393F74"/>
    <w:rsid w:val="00397C21"/>
    <w:rsid w:val="003A0D6B"/>
    <w:rsid w:val="003A0F05"/>
    <w:rsid w:val="003A4ABE"/>
    <w:rsid w:val="003A4C19"/>
    <w:rsid w:val="003A717E"/>
    <w:rsid w:val="003B2391"/>
    <w:rsid w:val="003B27A0"/>
    <w:rsid w:val="003B39FD"/>
    <w:rsid w:val="003B3D46"/>
    <w:rsid w:val="003B62CA"/>
    <w:rsid w:val="003C06E2"/>
    <w:rsid w:val="003C1395"/>
    <w:rsid w:val="003C5E92"/>
    <w:rsid w:val="003D116E"/>
    <w:rsid w:val="003D1F05"/>
    <w:rsid w:val="003D395D"/>
    <w:rsid w:val="003D4573"/>
    <w:rsid w:val="003E0065"/>
    <w:rsid w:val="003E21FB"/>
    <w:rsid w:val="003E3066"/>
    <w:rsid w:val="003E31B8"/>
    <w:rsid w:val="003E5C6C"/>
    <w:rsid w:val="003E74B7"/>
    <w:rsid w:val="003F12FD"/>
    <w:rsid w:val="003F25C6"/>
    <w:rsid w:val="003F2EBF"/>
    <w:rsid w:val="003F3432"/>
    <w:rsid w:val="003F4237"/>
    <w:rsid w:val="003F5008"/>
    <w:rsid w:val="00400452"/>
    <w:rsid w:val="00405540"/>
    <w:rsid w:val="00405564"/>
    <w:rsid w:val="004055CE"/>
    <w:rsid w:val="00410CBC"/>
    <w:rsid w:val="00410D55"/>
    <w:rsid w:val="004118FA"/>
    <w:rsid w:val="004123F4"/>
    <w:rsid w:val="00412CF5"/>
    <w:rsid w:val="004176AA"/>
    <w:rsid w:val="00420E66"/>
    <w:rsid w:val="004217CE"/>
    <w:rsid w:val="00425A49"/>
    <w:rsid w:val="004312E4"/>
    <w:rsid w:val="00433725"/>
    <w:rsid w:val="00435618"/>
    <w:rsid w:val="004364DF"/>
    <w:rsid w:val="00436D46"/>
    <w:rsid w:val="0043777C"/>
    <w:rsid w:val="0044048C"/>
    <w:rsid w:val="004433A5"/>
    <w:rsid w:val="0044354B"/>
    <w:rsid w:val="00445729"/>
    <w:rsid w:val="004467E4"/>
    <w:rsid w:val="00446BE4"/>
    <w:rsid w:val="00447B1A"/>
    <w:rsid w:val="00447BEA"/>
    <w:rsid w:val="00451FCE"/>
    <w:rsid w:val="00453C56"/>
    <w:rsid w:val="0045597B"/>
    <w:rsid w:val="00455A96"/>
    <w:rsid w:val="00455C30"/>
    <w:rsid w:val="00456A61"/>
    <w:rsid w:val="00456AFF"/>
    <w:rsid w:val="00457572"/>
    <w:rsid w:val="00457DD9"/>
    <w:rsid w:val="004610A6"/>
    <w:rsid w:val="0046152E"/>
    <w:rsid w:val="00463889"/>
    <w:rsid w:val="00466977"/>
    <w:rsid w:val="00466D8A"/>
    <w:rsid w:val="00470DA9"/>
    <w:rsid w:val="004716A9"/>
    <w:rsid w:val="0047544F"/>
    <w:rsid w:val="004766B9"/>
    <w:rsid w:val="00476961"/>
    <w:rsid w:val="00477B8C"/>
    <w:rsid w:val="00480C38"/>
    <w:rsid w:val="0048100F"/>
    <w:rsid w:val="00482F6B"/>
    <w:rsid w:val="00483262"/>
    <w:rsid w:val="00485AA3"/>
    <w:rsid w:val="00486750"/>
    <w:rsid w:val="004905D6"/>
    <w:rsid w:val="00491E7A"/>
    <w:rsid w:val="00492ACA"/>
    <w:rsid w:val="004A0378"/>
    <w:rsid w:val="004A0652"/>
    <w:rsid w:val="004A2B0D"/>
    <w:rsid w:val="004A5723"/>
    <w:rsid w:val="004B1A6B"/>
    <w:rsid w:val="004B371C"/>
    <w:rsid w:val="004B4129"/>
    <w:rsid w:val="004B6F0E"/>
    <w:rsid w:val="004B7272"/>
    <w:rsid w:val="004C1C6B"/>
    <w:rsid w:val="004C3DD2"/>
    <w:rsid w:val="004C4287"/>
    <w:rsid w:val="004D16CC"/>
    <w:rsid w:val="004D1BE1"/>
    <w:rsid w:val="004D42B2"/>
    <w:rsid w:val="004D64E3"/>
    <w:rsid w:val="004E1F71"/>
    <w:rsid w:val="004E2A7C"/>
    <w:rsid w:val="004E2D8C"/>
    <w:rsid w:val="004E3171"/>
    <w:rsid w:val="004E70FC"/>
    <w:rsid w:val="004F15F5"/>
    <w:rsid w:val="004F443C"/>
    <w:rsid w:val="004F47A1"/>
    <w:rsid w:val="004F4A8A"/>
    <w:rsid w:val="004F4F1A"/>
    <w:rsid w:val="004F5BCA"/>
    <w:rsid w:val="00501073"/>
    <w:rsid w:val="00501496"/>
    <w:rsid w:val="005023B0"/>
    <w:rsid w:val="00503EA7"/>
    <w:rsid w:val="00505AA6"/>
    <w:rsid w:val="005061EE"/>
    <w:rsid w:val="005063E5"/>
    <w:rsid w:val="00510B6B"/>
    <w:rsid w:val="00511D8F"/>
    <w:rsid w:val="00515110"/>
    <w:rsid w:val="0051556C"/>
    <w:rsid w:val="00515644"/>
    <w:rsid w:val="005239FD"/>
    <w:rsid w:val="00524E1D"/>
    <w:rsid w:val="0052600C"/>
    <w:rsid w:val="005262DF"/>
    <w:rsid w:val="0052759B"/>
    <w:rsid w:val="005304EC"/>
    <w:rsid w:val="00531C30"/>
    <w:rsid w:val="00532D3C"/>
    <w:rsid w:val="005348FA"/>
    <w:rsid w:val="0054052F"/>
    <w:rsid w:val="00541AFC"/>
    <w:rsid w:val="00543E2D"/>
    <w:rsid w:val="00544297"/>
    <w:rsid w:val="00545F5D"/>
    <w:rsid w:val="00546330"/>
    <w:rsid w:val="005466C0"/>
    <w:rsid w:val="00550794"/>
    <w:rsid w:val="00550B1D"/>
    <w:rsid w:val="00550C1B"/>
    <w:rsid w:val="00552C08"/>
    <w:rsid w:val="00554F37"/>
    <w:rsid w:val="005556C9"/>
    <w:rsid w:val="00562E4A"/>
    <w:rsid w:val="0056360B"/>
    <w:rsid w:val="0057286D"/>
    <w:rsid w:val="00574698"/>
    <w:rsid w:val="0057523F"/>
    <w:rsid w:val="005755C6"/>
    <w:rsid w:val="00577B8B"/>
    <w:rsid w:val="00577ED1"/>
    <w:rsid w:val="00580F01"/>
    <w:rsid w:val="00583B7F"/>
    <w:rsid w:val="00584608"/>
    <w:rsid w:val="00584D4A"/>
    <w:rsid w:val="00586F7A"/>
    <w:rsid w:val="00590FC6"/>
    <w:rsid w:val="00591C1A"/>
    <w:rsid w:val="00591E17"/>
    <w:rsid w:val="00591E7A"/>
    <w:rsid w:val="0059338B"/>
    <w:rsid w:val="005950D7"/>
    <w:rsid w:val="00595499"/>
    <w:rsid w:val="00595FAC"/>
    <w:rsid w:val="005A105D"/>
    <w:rsid w:val="005A10B2"/>
    <w:rsid w:val="005A45DF"/>
    <w:rsid w:val="005A5878"/>
    <w:rsid w:val="005A5AC8"/>
    <w:rsid w:val="005A6038"/>
    <w:rsid w:val="005A647D"/>
    <w:rsid w:val="005A69E5"/>
    <w:rsid w:val="005A6B7A"/>
    <w:rsid w:val="005A7085"/>
    <w:rsid w:val="005B08B8"/>
    <w:rsid w:val="005B24B8"/>
    <w:rsid w:val="005B3E81"/>
    <w:rsid w:val="005C1B71"/>
    <w:rsid w:val="005C1D70"/>
    <w:rsid w:val="005C2836"/>
    <w:rsid w:val="005C2EFA"/>
    <w:rsid w:val="005C4E40"/>
    <w:rsid w:val="005C4F79"/>
    <w:rsid w:val="005D0C2A"/>
    <w:rsid w:val="005D1977"/>
    <w:rsid w:val="005D2426"/>
    <w:rsid w:val="005D26DB"/>
    <w:rsid w:val="005D2CFD"/>
    <w:rsid w:val="005D36E3"/>
    <w:rsid w:val="005D4ED8"/>
    <w:rsid w:val="005D5766"/>
    <w:rsid w:val="005D6186"/>
    <w:rsid w:val="005E1570"/>
    <w:rsid w:val="005E28B5"/>
    <w:rsid w:val="005E48C4"/>
    <w:rsid w:val="005E7CD8"/>
    <w:rsid w:val="005F1F98"/>
    <w:rsid w:val="005F33B8"/>
    <w:rsid w:val="00603AA6"/>
    <w:rsid w:val="00606E07"/>
    <w:rsid w:val="0060764C"/>
    <w:rsid w:val="006150A8"/>
    <w:rsid w:val="006160FC"/>
    <w:rsid w:val="00617A74"/>
    <w:rsid w:val="00621C08"/>
    <w:rsid w:val="00621C39"/>
    <w:rsid w:val="00624020"/>
    <w:rsid w:val="0062485F"/>
    <w:rsid w:val="006249B2"/>
    <w:rsid w:val="00625F5D"/>
    <w:rsid w:val="00631AD9"/>
    <w:rsid w:val="00632BF8"/>
    <w:rsid w:val="00632BF9"/>
    <w:rsid w:val="00637609"/>
    <w:rsid w:val="00640689"/>
    <w:rsid w:val="0064119E"/>
    <w:rsid w:val="00641758"/>
    <w:rsid w:val="006423E2"/>
    <w:rsid w:val="00643E71"/>
    <w:rsid w:val="0064770C"/>
    <w:rsid w:val="006503ED"/>
    <w:rsid w:val="006517AE"/>
    <w:rsid w:val="006518AE"/>
    <w:rsid w:val="00651DD3"/>
    <w:rsid w:val="00652062"/>
    <w:rsid w:val="0066226A"/>
    <w:rsid w:val="00663473"/>
    <w:rsid w:val="006638AE"/>
    <w:rsid w:val="00664CBF"/>
    <w:rsid w:val="00665F29"/>
    <w:rsid w:val="00666356"/>
    <w:rsid w:val="00670522"/>
    <w:rsid w:val="0067062A"/>
    <w:rsid w:val="00671A27"/>
    <w:rsid w:val="006743FC"/>
    <w:rsid w:val="00675D3F"/>
    <w:rsid w:val="0067602A"/>
    <w:rsid w:val="0067793D"/>
    <w:rsid w:val="00677BD8"/>
    <w:rsid w:val="006814F1"/>
    <w:rsid w:val="006828A8"/>
    <w:rsid w:val="00682E27"/>
    <w:rsid w:val="00686E24"/>
    <w:rsid w:val="00687336"/>
    <w:rsid w:val="00690C2C"/>
    <w:rsid w:val="00690F2F"/>
    <w:rsid w:val="0069350B"/>
    <w:rsid w:val="006A354E"/>
    <w:rsid w:val="006A615D"/>
    <w:rsid w:val="006A7149"/>
    <w:rsid w:val="006B49E2"/>
    <w:rsid w:val="006B51B9"/>
    <w:rsid w:val="006B53E2"/>
    <w:rsid w:val="006B699F"/>
    <w:rsid w:val="006B6EA1"/>
    <w:rsid w:val="006C2248"/>
    <w:rsid w:val="006C25AC"/>
    <w:rsid w:val="006C3942"/>
    <w:rsid w:val="006C443A"/>
    <w:rsid w:val="006C48CA"/>
    <w:rsid w:val="006C493C"/>
    <w:rsid w:val="006C4A57"/>
    <w:rsid w:val="006C73E0"/>
    <w:rsid w:val="006D065E"/>
    <w:rsid w:val="006D172A"/>
    <w:rsid w:val="006D1EF6"/>
    <w:rsid w:val="006D291A"/>
    <w:rsid w:val="006D3055"/>
    <w:rsid w:val="006D33A8"/>
    <w:rsid w:val="006D3AE7"/>
    <w:rsid w:val="006D485B"/>
    <w:rsid w:val="006D523B"/>
    <w:rsid w:val="006E017F"/>
    <w:rsid w:val="006E27CC"/>
    <w:rsid w:val="006E4A58"/>
    <w:rsid w:val="006F35AD"/>
    <w:rsid w:val="006F50F6"/>
    <w:rsid w:val="006F557F"/>
    <w:rsid w:val="006F6EF7"/>
    <w:rsid w:val="00701352"/>
    <w:rsid w:val="00701D29"/>
    <w:rsid w:val="007033E7"/>
    <w:rsid w:val="00705436"/>
    <w:rsid w:val="00705AB2"/>
    <w:rsid w:val="00707096"/>
    <w:rsid w:val="00707812"/>
    <w:rsid w:val="00707F10"/>
    <w:rsid w:val="00710C89"/>
    <w:rsid w:val="0071145E"/>
    <w:rsid w:val="007134CC"/>
    <w:rsid w:val="00715319"/>
    <w:rsid w:val="00716E09"/>
    <w:rsid w:val="00720110"/>
    <w:rsid w:val="00720844"/>
    <w:rsid w:val="00721E9F"/>
    <w:rsid w:val="0072305E"/>
    <w:rsid w:val="007249BE"/>
    <w:rsid w:val="00725051"/>
    <w:rsid w:val="00731DDC"/>
    <w:rsid w:val="007351A8"/>
    <w:rsid w:val="00735DE3"/>
    <w:rsid w:val="00736753"/>
    <w:rsid w:val="007374C0"/>
    <w:rsid w:val="00737B33"/>
    <w:rsid w:val="00737BC6"/>
    <w:rsid w:val="00740856"/>
    <w:rsid w:val="00742436"/>
    <w:rsid w:val="007451F2"/>
    <w:rsid w:val="00752901"/>
    <w:rsid w:val="00752ECB"/>
    <w:rsid w:val="007534C1"/>
    <w:rsid w:val="0075638D"/>
    <w:rsid w:val="00756DE4"/>
    <w:rsid w:val="00760BD2"/>
    <w:rsid w:val="00761768"/>
    <w:rsid w:val="00761D5C"/>
    <w:rsid w:val="0076429C"/>
    <w:rsid w:val="007664DE"/>
    <w:rsid w:val="00766702"/>
    <w:rsid w:val="007672E5"/>
    <w:rsid w:val="0077147C"/>
    <w:rsid w:val="0077199C"/>
    <w:rsid w:val="0077496B"/>
    <w:rsid w:val="00774CB8"/>
    <w:rsid w:val="00776289"/>
    <w:rsid w:val="00776BDC"/>
    <w:rsid w:val="007804AD"/>
    <w:rsid w:val="00780660"/>
    <w:rsid w:val="00780A43"/>
    <w:rsid w:val="00781B35"/>
    <w:rsid w:val="0078217F"/>
    <w:rsid w:val="007827A0"/>
    <w:rsid w:val="00783346"/>
    <w:rsid w:val="007840E0"/>
    <w:rsid w:val="00784285"/>
    <w:rsid w:val="00787757"/>
    <w:rsid w:val="00790125"/>
    <w:rsid w:val="00790A6B"/>
    <w:rsid w:val="0079331A"/>
    <w:rsid w:val="0079396D"/>
    <w:rsid w:val="00794A81"/>
    <w:rsid w:val="00795AEF"/>
    <w:rsid w:val="00795E12"/>
    <w:rsid w:val="0079787A"/>
    <w:rsid w:val="007A5916"/>
    <w:rsid w:val="007A771A"/>
    <w:rsid w:val="007A7E60"/>
    <w:rsid w:val="007B18F5"/>
    <w:rsid w:val="007B2380"/>
    <w:rsid w:val="007B5CB8"/>
    <w:rsid w:val="007B5E7B"/>
    <w:rsid w:val="007C2AF7"/>
    <w:rsid w:val="007C37DA"/>
    <w:rsid w:val="007C46CE"/>
    <w:rsid w:val="007C46EE"/>
    <w:rsid w:val="007C6768"/>
    <w:rsid w:val="007C7B7A"/>
    <w:rsid w:val="007C7E6D"/>
    <w:rsid w:val="007D2188"/>
    <w:rsid w:val="007D3680"/>
    <w:rsid w:val="007D3E77"/>
    <w:rsid w:val="007D745E"/>
    <w:rsid w:val="007E08BD"/>
    <w:rsid w:val="007E36EA"/>
    <w:rsid w:val="007F16F2"/>
    <w:rsid w:val="007F1CA8"/>
    <w:rsid w:val="007F275A"/>
    <w:rsid w:val="007F2B17"/>
    <w:rsid w:val="007F390A"/>
    <w:rsid w:val="007F450B"/>
    <w:rsid w:val="007F7CAB"/>
    <w:rsid w:val="00803A59"/>
    <w:rsid w:val="00803E9D"/>
    <w:rsid w:val="00805B00"/>
    <w:rsid w:val="00806EA3"/>
    <w:rsid w:val="0081098B"/>
    <w:rsid w:val="00811982"/>
    <w:rsid w:val="00811C64"/>
    <w:rsid w:val="00812ABE"/>
    <w:rsid w:val="00815BE4"/>
    <w:rsid w:val="00815D62"/>
    <w:rsid w:val="00815FC6"/>
    <w:rsid w:val="00816242"/>
    <w:rsid w:val="00822032"/>
    <w:rsid w:val="008241FD"/>
    <w:rsid w:val="0082442B"/>
    <w:rsid w:val="00825599"/>
    <w:rsid w:val="00832494"/>
    <w:rsid w:val="008337F5"/>
    <w:rsid w:val="00836314"/>
    <w:rsid w:val="00837DDD"/>
    <w:rsid w:val="00837EF0"/>
    <w:rsid w:val="00840D6D"/>
    <w:rsid w:val="00840FF2"/>
    <w:rsid w:val="008434EF"/>
    <w:rsid w:val="00843697"/>
    <w:rsid w:val="00844881"/>
    <w:rsid w:val="00845777"/>
    <w:rsid w:val="00845814"/>
    <w:rsid w:val="00851E5C"/>
    <w:rsid w:val="00852511"/>
    <w:rsid w:val="00854B24"/>
    <w:rsid w:val="00856AF2"/>
    <w:rsid w:val="00856E0A"/>
    <w:rsid w:val="00856E4D"/>
    <w:rsid w:val="0085739E"/>
    <w:rsid w:val="00860536"/>
    <w:rsid w:val="00860E8F"/>
    <w:rsid w:val="00860E92"/>
    <w:rsid w:val="00863A3F"/>
    <w:rsid w:val="00865088"/>
    <w:rsid w:val="00866B64"/>
    <w:rsid w:val="00866C22"/>
    <w:rsid w:val="00867003"/>
    <w:rsid w:val="008672CA"/>
    <w:rsid w:val="008675CA"/>
    <w:rsid w:val="008703EC"/>
    <w:rsid w:val="00872042"/>
    <w:rsid w:val="008728B5"/>
    <w:rsid w:val="00873C75"/>
    <w:rsid w:val="008747C3"/>
    <w:rsid w:val="00875897"/>
    <w:rsid w:val="00877AE7"/>
    <w:rsid w:val="00880EF8"/>
    <w:rsid w:val="0088252B"/>
    <w:rsid w:val="0088307D"/>
    <w:rsid w:val="00883713"/>
    <w:rsid w:val="00886628"/>
    <w:rsid w:val="00886732"/>
    <w:rsid w:val="00890041"/>
    <w:rsid w:val="008917C6"/>
    <w:rsid w:val="00897ED6"/>
    <w:rsid w:val="008A057E"/>
    <w:rsid w:val="008A177D"/>
    <w:rsid w:val="008A1CF5"/>
    <w:rsid w:val="008A1D73"/>
    <w:rsid w:val="008A2AD3"/>
    <w:rsid w:val="008A32A9"/>
    <w:rsid w:val="008A6058"/>
    <w:rsid w:val="008A6790"/>
    <w:rsid w:val="008A6B21"/>
    <w:rsid w:val="008A7759"/>
    <w:rsid w:val="008B30DF"/>
    <w:rsid w:val="008B34BC"/>
    <w:rsid w:val="008B766A"/>
    <w:rsid w:val="008C18AE"/>
    <w:rsid w:val="008C1CD0"/>
    <w:rsid w:val="008C54B0"/>
    <w:rsid w:val="008C6B06"/>
    <w:rsid w:val="008C6D6B"/>
    <w:rsid w:val="008C7081"/>
    <w:rsid w:val="008C7B65"/>
    <w:rsid w:val="008D3B16"/>
    <w:rsid w:val="008E2287"/>
    <w:rsid w:val="008E22B3"/>
    <w:rsid w:val="008E2766"/>
    <w:rsid w:val="008E55A5"/>
    <w:rsid w:val="008E5CEF"/>
    <w:rsid w:val="008E6B3F"/>
    <w:rsid w:val="008E75F5"/>
    <w:rsid w:val="008F012C"/>
    <w:rsid w:val="008F24E3"/>
    <w:rsid w:val="008F2F36"/>
    <w:rsid w:val="008F330F"/>
    <w:rsid w:val="008F3BD8"/>
    <w:rsid w:val="008F6193"/>
    <w:rsid w:val="008F6E11"/>
    <w:rsid w:val="008F7590"/>
    <w:rsid w:val="009008E7"/>
    <w:rsid w:val="009015BE"/>
    <w:rsid w:val="00903727"/>
    <w:rsid w:val="00903B7F"/>
    <w:rsid w:val="009042D0"/>
    <w:rsid w:val="00906149"/>
    <w:rsid w:val="009075D0"/>
    <w:rsid w:val="0091015D"/>
    <w:rsid w:val="00910BCB"/>
    <w:rsid w:val="00911DCA"/>
    <w:rsid w:val="00912E8F"/>
    <w:rsid w:val="009142AF"/>
    <w:rsid w:val="009165E7"/>
    <w:rsid w:val="009212FC"/>
    <w:rsid w:val="00923E81"/>
    <w:rsid w:val="00925690"/>
    <w:rsid w:val="00930AB8"/>
    <w:rsid w:val="00933542"/>
    <w:rsid w:val="00934B95"/>
    <w:rsid w:val="00934FAF"/>
    <w:rsid w:val="00935FB0"/>
    <w:rsid w:val="00936274"/>
    <w:rsid w:val="0093671E"/>
    <w:rsid w:val="00937755"/>
    <w:rsid w:val="009379A0"/>
    <w:rsid w:val="00937AD6"/>
    <w:rsid w:val="00937F4C"/>
    <w:rsid w:val="00940251"/>
    <w:rsid w:val="009407E1"/>
    <w:rsid w:val="00940BF2"/>
    <w:rsid w:val="00941317"/>
    <w:rsid w:val="00944F21"/>
    <w:rsid w:val="0094509F"/>
    <w:rsid w:val="0095266B"/>
    <w:rsid w:val="00953794"/>
    <w:rsid w:val="00956D5E"/>
    <w:rsid w:val="00960719"/>
    <w:rsid w:val="00960A92"/>
    <w:rsid w:val="0096142A"/>
    <w:rsid w:val="0096206F"/>
    <w:rsid w:val="00962269"/>
    <w:rsid w:val="0096287E"/>
    <w:rsid w:val="0096392A"/>
    <w:rsid w:val="00964236"/>
    <w:rsid w:val="00964EB1"/>
    <w:rsid w:val="00965025"/>
    <w:rsid w:val="00966F51"/>
    <w:rsid w:val="0097030C"/>
    <w:rsid w:val="00970A07"/>
    <w:rsid w:val="009718BA"/>
    <w:rsid w:val="009748BB"/>
    <w:rsid w:val="00976550"/>
    <w:rsid w:val="00977A3C"/>
    <w:rsid w:val="00977E13"/>
    <w:rsid w:val="0098390D"/>
    <w:rsid w:val="009842F2"/>
    <w:rsid w:val="00984433"/>
    <w:rsid w:val="0098557F"/>
    <w:rsid w:val="00985FB6"/>
    <w:rsid w:val="009862E9"/>
    <w:rsid w:val="00986D25"/>
    <w:rsid w:val="009878C6"/>
    <w:rsid w:val="00994A02"/>
    <w:rsid w:val="00995339"/>
    <w:rsid w:val="009954BE"/>
    <w:rsid w:val="00995754"/>
    <w:rsid w:val="009959A4"/>
    <w:rsid w:val="00997E3B"/>
    <w:rsid w:val="009A24B9"/>
    <w:rsid w:val="009A352F"/>
    <w:rsid w:val="009A600A"/>
    <w:rsid w:val="009A6165"/>
    <w:rsid w:val="009A663D"/>
    <w:rsid w:val="009B02BB"/>
    <w:rsid w:val="009B3A1F"/>
    <w:rsid w:val="009B77A9"/>
    <w:rsid w:val="009C0E72"/>
    <w:rsid w:val="009C0EA7"/>
    <w:rsid w:val="009C218C"/>
    <w:rsid w:val="009C4392"/>
    <w:rsid w:val="009C46CA"/>
    <w:rsid w:val="009C57EE"/>
    <w:rsid w:val="009C5B73"/>
    <w:rsid w:val="009C5D7C"/>
    <w:rsid w:val="009C74CB"/>
    <w:rsid w:val="009C7DFB"/>
    <w:rsid w:val="009D16FE"/>
    <w:rsid w:val="009D2265"/>
    <w:rsid w:val="009D2410"/>
    <w:rsid w:val="009D7A8E"/>
    <w:rsid w:val="009E2249"/>
    <w:rsid w:val="009E2748"/>
    <w:rsid w:val="009E293A"/>
    <w:rsid w:val="009E3BB5"/>
    <w:rsid w:val="009E4F34"/>
    <w:rsid w:val="009E569C"/>
    <w:rsid w:val="009E5884"/>
    <w:rsid w:val="009E6FE1"/>
    <w:rsid w:val="009E72C0"/>
    <w:rsid w:val="009E7470"/>
    <w:rsid w:val="009E7488"/>
    <w:rsid w:val="009E771A"/>
    <w:rsid w:val="009F0990"/>
    <w:rsid w:val="009F1957"/>
    <w:rsid w:val="009F2646"/>
    <w:rsid w:val="009F3653"/>
    <w:rsid w:val="009F4EB2"/>
    <w:rsid w:val="00A03E23"/>
    <w:rsid w:val="00A046A8"/>
    <w:rsid w:val="00A051F9"/>
    <w:rsid w:val="00A0580D"/>
    <w:rsid w:val="00A0676C"/>
    <w:rsid w:val="00A117B7"/>
    <w:rsid w:val="00A15D01"/>
    <w:rsid w:val="00A15F86"/>
    <w:rsid w:val="00A17F62"/>
    <w:rsid w:val="00A21B52"/>
    <w:rsid w:val="00A21DC2"/>
    <w:rsid w:val="00A231AC"/>
    <w:rsid w:val="00A233B5"/>
    <w:rsid w:val="00A24B46"/>
    <w:rsid w:val="00A254EF"/>
    <w:rsid w:val="00A26DB4"/>
    <w:rsid w:val="00A272FB"/>
    <w:rsid w:val="00A27BD9"/>
    <w:rsid w:val="00A307D8"/>
    <w:rsid w:val="00A31584"/>
    <w:rsid w:val="00A31B26"/>
    <w:rsid w:val="00A31ED8"/>
    <w:rsid w:val="00A322D5"/>
    <w:rsid w:val="00A35572"/>
    <w:rsid w:val="00A35697"/>
    <w:rsid w:val="00A36035"/>
    <w:rsid w:val="00A37069"/>
    <w:rsid w:val="00A37608"/>
    <w:rsid w:val="00A40FE1"/>
    <w:rsid w:val="00A41A4A"/>
    <w:rsid w:val="00A41CE0"/>
    <w:rsid w:val="00A420E3"/>
    <w:rsid w:val="00A421E7"/>
    <w:rsid w:val="00A43D21"/>
    <w:rsid w:val="00A444F8"/>
    <w:rsid w:val="00A478A3"/>
    <w:rsid w:val="00A50272"/>
    <w:rsid w:val="00A51556"/>
    <w:rsid w:val="00A5272E"/>
    <w:rsid w:val="00A546E8"/>
    <w:rsid w:val="00A56AD8"/>
    <w:rsid w:val="00A6121B"/>
    <w:rsid w:val="00A625E8"/>
    <w:rsid w:val="00A62626"/>
    <w:rsid w:val="00A62B3B"/>
    <w:rsid w:val="00A646B1"/>
    <w:rsid w:val="00A6606B"/>
    <w:rsid w:val="00A71BB2"/>
    <w:rsid w:val="00A71FB4"/>
    <w:rsid w:val="00A728E1"/>
    <w:rsid w:val="00A75950"/>
    <w:rsid w:val="00A760D1"/>
    <w:rsid w:val="00A76522"/>
    <w:rsid w:val="00A80505"/>
    <w:rsid w:val="00A80682"/>
    <w:rsid w:val="00A82EB7"/>
    <w:rsid w:val="00A8648F"/>
    <w:rsid w:val="00A86D57"/>
    <w:rsid w:val="00A87353"/>
    <w:rsid w:val="00A87F36"/>
    <w:rsid w:val="00A91327"/>
    <w:rsid w:val="00A92E5E"/>
    <w:rsid w:val="00A93907"/>
    <w:rsid w:val="00A97B71"/>
    <w:rsid w:val="00AA4C79"/>
    <w:rsid w:val="00AB133D"/>
    <w:rsid w:val="00AB16FB"/>
    <w:rsid w:val="00AB52B4"/>
    <w:rsid w:val="00AB5353"/>
    <w:rsid w:val="00AB5CD0"/>
    <w:rsid w:val="00AB6658"/>
    <w:rsid w:val="00AB7119"/>
    <w:rsid w:val="00AC0D39"/>
    <w:rsid w:val="00AC249A"/>
    <w:rsid w:val="00AC3B56"/>
    <w:rsid w:val="00AC4243"/>
    <w:rsid w:val="00AC4AE8"/>
    <w:rsid w:val="00AC5B14"/>
    <w:rsid w:val="00AC5C28"/>
    <w:rsid w:val="00AD0242"/>
    <w:rsid w:val="00AD0ED8"/>
    <w:rsid w:val="00AD6717"/>
    <w:rsid w:val="00AD68C8"/>
    <w:rsid w:val="00AD74BE"/>
    <w:rsid w:val="00AD7C55"/>
    <w:rsid w:val="00AD7D26"/>
    <w:rsid w:val="00AE0EA2"/>
    <w:rsid w:val="00AE1365"/>
    <w:rsid w:val="00AE3178"/>
    <w:rsid w:val="00AE3AFB"/>
    <w:rsid w:val="00AF0C5F"/>
    <w:rsid w:val="00AF0E04"/>
    <w:rsid w:val="00AF1E9C"/>
    <w:rsid w:val="00AF57C2"/>
    <w:rsid w:val="00AF6153"/>
    <w:rsid w:val="00B00A30"/>
    <w:rsid w:val="00B06BBE"/>
    <w:rsid w:val="00B06F5E"/>
    <w:rsid w:val="00B10702"/>
    <w:rsid w:val="00B1163F"/>
    <w:rsid w:val="00B164EA"/>
    <w:rsid w:val="00B16B91"/>
    <w:rsid w:val="00B17D14"/>
    <w:rsid w:val="00B17EF8"/>
    <w:rsid w:val="00B209C2"/>
    <w:rsid w:val="00B221AB"/>
    <w:rsid w:val="00B229C7"/>
    <w:rsid w:val="00B23401"/>
    <w:rsid w:val="00B2445E"/>
    <w:rsid w:val="00B24BAB"/>
    <w:rsid w:val="00B24FC4"/>
    <w:rsid w:val="00B258A1"/>
    <w:rsid w:val="00B2737A"/>
    <w:rsid w:val="00B30542"/>
    <w:rsid w:val="00B3087B"/>
    <w:rsid w:val="00B34ADF"/>
    <w:rsid w:val="00B34F19"/>
    <w:rsid w:val="00B35890"/>
    <w:rsid w:val="00B35CD8"/>
    <w:rsid w:val="00B35D6E"/>
    <w:rsid w:val="00B3651A"/>
    <w:rsid w:val="00B439B9"/>
    <w:rsid w:val="00B456E4"/>
    <w:rsid w:val="00B47628"/>
    <w:rsid w:val="00B50857"/>
    <w:rsid w:val="00B50AB3"/>
    <w:rsid w:val="00B55607"/>
    <w:rsid w:val="00B55E36"/>
    <w:rsid w:val="00B57063"/>
    <w:rsid w:val="00B6058F"/>
    <w:rsid w:val="00B60E11"/>
    <w:rsid w:val="00B61EA6"/>
    <w:rsid w:val="00B662C9"/>
    <w:rsid w:val="00B67352"/>
    <w:rsid w:val="00B73233"/>
    <w:rsid w:val="00B775D3"/>
    <w:rsid w:val="00B821CC"/>
    <w:rsid w:val="00B8340A"/>
    <w:rsid w:val="00B90082"/>
    <w:rsid w:val="00B93A26"/>
    <w:rsid w:val="00B941AC"/>
    <w:rsid w:val="00B961D1"/>
    <w:rsid w:val="00BA0E3F"/>
    <w:rsid w:val="00BA2F46"/>
    <w:rsid w:val="00BA3181"/>
    <w:rsid w:val="00BA3840"/>
    <w:rsid w:val="00BA5060"/>
    <w:rsid w:val="00BA7A2B"/>
    <w:rsid w:val="00BA7FD5"/>
    <w:rsid w:val="00BB15CC"/>
    <w:rsid w:val="00BB1895"/>
    <w:rsid w:val="00BB1E24"/>
    <w:rsid w:val="00BB740F"/>
    <w:rsid w:val="00BB7D8A"/>
    <w:rsid w:val="00BC2C3B"/>
    <w:rsid w:val="00BC407B"/>
    <w:rsid w:val="00BC72C5"/>
    <w:rsid w:val="00BC7302"/>
    <w:rsid w:val="00BC79E1"/>
    <w:rsid w:val="00BD039B"/>
    <w:rsid w:val="00BD03BC"/>
    <w:rsid w:val="00BD4E8C"/>
    <w:rsid w:val="00BE095F"/>
    <w:rsid w:val="00BE14B2"/>
    <w:rsid w:val="00BE1E9E"/>
    <w:rsid w:val="00BE1EF1"/>
    <w:rsid w:val="00BE2375"/>
    <w:rsid w:val="00BE4385"/>
    <w:rsid w:val="00BF0F3C"/>
    <w:rsid w:val="00BF2FAB"/>
    <w:rsid w:val="00BF34E7"/>
    <w:rsid w:val="00BF48F7"/>
    <w:rsid w:val="00BF567E"/>
    <w:rsid w:val="00BF6F6E"/>
    <w:rsid w:val="00BF6FE2"/>
    <w:rsid w:val="00BF72C9"/>
    <w:rsid w:val="00C006F0"/>
    <w:rsid w:val="00C01CED"/>
    <w:rsid w:val="00C03A40"/>
    <w:rsid w:val="00C04786"/>
    <w:rsid w:val="00C04BB8"/>
    <w:rsid w:val="00C12FAA"/>
    <w:rsid w:val="00C1521A"/>
    <w:rsid w:val="00C16192"/>
    <w:rsid w:val="00C165DE"/>
    <w:rsid w:val="00C16FB2"/>
    <w:rsid w:val="00C21A94"/>
    <w:rsid w:val="00C23EFA"/>
    <w:rsid w:val="00C27C28"/>
    <w:rsid w:val="00C3129F"/>
    <w:rsid w:val="00C31BE7"/>
    <w:rsid w:val="00C343F5"/>
    <w:rsid w:val="00C418CF"/>
    <w:rsid w:val="00C42479"/>
    <w:rsid w:val="00C42ABD"/>
    <w:rsid w:val="00C42AC5"/>
    <w:rsid w:val="00C42B31"/>
    <w:rsid w:val="00C454F6"/>
    <w:rsid w:val="00C5606E"/>
    <w:rsid w:val="00C560C2"/>
    <w:rsid w:val="00C569E2"/>
    <w:rsid w:val="00C56B39"/>
    <w:rsid w:val="00C64618"/>
    <w:rsid w:val="00C65C0F"/>
    <w:rsid w:val="00C662F9"/>
    <w:rsid w:val="00C6713D"/>
    <w:rsid w:val="00C7019B"/>
    <w:rsid w:val="00C70562"/>
    <w:rsid w:val="00C70A4A"/>
    <w:rsid w:val="00C72BE6"/>
    <w:rsid w:val="00C736D5"/>
    <w:rsid w:val="00C74C17"/>
    <w:rsid w:val="00C75D2F"/>
    <w:rsid w:val="00C76FC2"/>
    <w:rsid w:val="00C7762F"/>
    <w:rsid w:val="00C8177F"/>
    <w:rsid w:val="00C82A85"/>
    <w:rsid w:val="00C84B46"/>
    <w:rsid w:val="00C85089"/>
    <w:rsid w:val="00C86BB6"/>
    <w:rsid w:val="00C86E7A"/>
    <w:rsid w:val="00C93579"/>
    <w:rsid w:val="00CA1B06"/>
    <w:rsid w:val="00CA5120"/>
    <w:rsid w:val="00CA7380"/>
    <w:rsid w:val="00CA7834"/>
    <w:rsid w:val="00CB3050"/>
    <w:rsid w:val="00CB42CC"/>
    <w:rsid w:val="00CB6A15"/>
    <w:rsid w:val="00CC17B4"/>
    <w:rsid w:val="00CC2CFE"/>
    <w:rsid w:val="00CC3A73"/>
    <w:rsid w:val="00CC3D0A"/>
    <w:rsid w:val="00CC463D"/>
    <w:rsid w:val="00CC5367"/>
    <w:rsid w:val="00CC59FF"/>
    <w:rsid w:val="00CC644E"/>
    <w:rsid w:val="00CC6966"/>
    <w:rsid w:val="00CD16D2"/>
    <w:rsid w:val="00CD2271"/>
    <w:rsid w:val="00CD427E"/>
    <w:rsid w:val="00CD6AD2"/>
    <w:rsid w:val="00CD6BF1"/>
    <w:rsid w:val="00CE114F"/>
    <w:rsid w:val="00CE1433"/>
    <w:rsid w:val="00CE6DD7"/>
    <w:rsid w:val="00CF097D"/>
    <w:rsid w:val="00CF1EF5"/>
    <w:rsid w:val="00CF290E"/>
    <w:rsid w:val="00CF5B45"/>
    <w:rsid w:val="00CF6D76"/>
    <w:rsid w:val="00CF7421"/>
    <w:rsid w:val="00D0004A"/>
    <w:rsid w:val="00D0250F"/>
    <w:rsid w:val="00D02BDC"/>
    <w:rsid w:val="00D03F7F"/>
    <w:rsid w:val="00D0423A"/>
    <w:rsid w:val="00D0624B"/>
    <w:rsid w:val="00D0689E"/>
    <w:rsid w:val="00D06A44"/>
    <w:rsid w:val="00D07580"/>
    <w:rsid w:val="00D10C6F"/>
    <w:rsid w:val="00D146FE"/>
    <w:rsid w:val="00D14F91"/>
    <w:rsid w:val="00D17F05"/>
    <w:rsid w:val="00D24ECF"/>
    <w:rsid w:val="00D304AE"/>
    <w:rsid w:val="00D3077E"/>
    <w:rsid w:val="00D30B37"/>
    <w:rsid w:val="00D30F08"/>
    <w:rsid w:val="00D31AE7"/>
    <w:rsid w:val="00D32B6F"/>
    <w:rsid w:val="00D33985"/>
    <w:rsid w:val="00D33E46"/>
    <w:rsid w:val="00D33FBB"/>
    <w:rsid w:val="00D374D7"/>
    <w:rsid w:val="00D37874"/>
    <w:rsid w:val="00D379E4"/>
    <w:rsid w:val="00D43E95"/>
    <w:rsid w:val="00D45CF9"/>
    <w:rsid w:val="00D56551"/>
    <w:rsid w:val="00D57D5A"/>
    <w:rsid w:val="00D6100A"/>
    <w:rsid w:val="00D6140B"/>
    <w:rsid w:val="00D677E0"/>
    <w:rsid w:val="00D67A42"/>
    <w:rsid w:val="00D7003E"/>
    <w:rsid w:val="00D71862"/>
    <w:rsid w:val="00D72519"/>
    <w:rsid w:val="00D741C8"/>
    <w:rsid w:val="00D76CED"/>
    <w:rsid w:val="00D7752C"/>
    <w:rsid w:val="00D77CDC"/>
    <w:rsid w:val="00D802D8"/>
    <w:rsid w:val="00D81CD6"/>
    <w:rsid w:val="00D81F57"/>
    <w:rsid w:val="00D82063"/>
    <w:rsid w:val="00D8236D"/>
    <w:rsid w:val="00D82867"/>
    <w:rsid w:val="00D844F7"/>
    <w:rsid w:val="00D8692F"/>
    <w:rsid w:val="00D87F18"/>
    <w:rsid w:val="00D90BD9"/>
    <w:rsid w:val="00D93102"/>
    <w:rsid w:val="00D934FF"/>
    <w:rsid w:val="00D93FFB"/>
    <w:rsid w:val="00D962F7"/>
    <w:rsid w:val="00DA09CD"/>
    <w:rsid w:val="00DA1F5B"/>
    <w:rsid w:val="00DA77FC"/>
    <w:rsid w:val="00DA7BE6"/>
    <w:rsid w:val="00DB0792"/>
    <w:rsid w:val="00DB0A2A"/>
    <w:rsid w:val="00DB319A"/>
    <w:rsid w:val="00DB3DDD"/>
    <w:rsid w:val="00DB4E7C"/>
    <w:rsid w:val="00DB5973"/>
    <w:rsid w:val="00DC0963"/>
    <w:rsid w:val="00DC12FD"/>
    <w:rsid w:val="00DC28D6"/>
    <w:rsid w:val="00DC2B74"/>
    <w:rsid w:val="00DC3C54"/>
    <w:rsid w:val="00DC41C2"/>
    <w:rsid w:val="00DC41F2"/>
    <w:rsid w:val="00DC4D49"/>
    <w:rsid w:val="00DC5354"/>
    <w:rsid w:val="00DC553E"/>
    <w:rsid w:val="00DC6A3D"/>
    <w:rsid w:val="00DD3C31"/>
    <w:rsid w:val="00DD49C5"/>
    <w:rsid w:val="00DD724A"/>
    <w:rsid w:val="00DE0BDB"/>
    <w:rsid w:val="00DE397D"/>
    <w:rsid w:val="00DE632B"/>
    <w:rsid w:val="00DE6FC7"/>
    <w:rsid w:val="00DF06DF"/>
    <w:rsid w:val="00DF0DB0"/>
    <w:rsid w:val="00DF12FF"/>
    <w:rsid w:val="00DF1A1D"/>
    <w:rsid w:val="00DF20F3"/>
    <w:rsid w:val="00DF2D1B"/>
    <w:rsid w:val="00DF2D3B"/>
    <w:rsid w:val="00DF3592"/>
    <w:rsid w:val="00DF438E"/>
    <w:rsid w:val="00DF53FF"/>
    <w:rsid w:val="00DF5513"/>
    <w:rsid w:val="00DF5FD7"/>
    <w:rsid w:val="00DF7FA8"/>
    <w:rsid w:val="00E01791"/>
    <w:rsid w:val="00E01B5E"/>
    <w:rsid w:val="00E02485"/>
    <w:rsid w:val="00E04449"/>
    <w:rsid w:val="00E053B7"/>
    <w:rsid w:val="00E05544"/>
    <w:rsid w:val="00E0573A"/>
    <w:rsid w:val="00E05CBE"/>
    <w:rsid w:val="00E06C78"/>
    <w:rsid w:val="00E07843"/>
    <w:rsid w:val="00E10B82"/>
    <w:rsid w:val="00E12EB8"/>
    <w:rsid w:val="00E143A4"/>
    <w:rsid w:val="00E147DA"/>
    <w:rsid w:val="00E14E45"/>
    <w:rsid w:val="00E16206"/>
    <w:rsid w:val="00E16C7B"/>
    <w:rsid w:val="00E17FC4"/>
    <w:rsid w:val="00E2237D"/>
    <w:rsid w:val="00E2383B"/>
    <w:rsid w:val="00E23D2B"/>
    <w:rsid w:val="00E24CCC"/>
    <w:rsid w:val="00E26907"/>
    <w:rsid w:val="00E3047C"/>
    <w:rsid w:val="00E308CA"/>
    <w:rsid w:val="00E3095E"/>
    <w:rsid w:val="00E316A6"/>
    <w:rsid w:val="00E31DC5"/>
    <w:rsid w:val="00E406F0"/>
    <w:rsid w:val="00E42A01"/>
    <w:rsid w:val="00E46767"/>
    <w:rsid w:val="00E46C9D"/>
    <w:rsid w:val="00E542CC"/>
    <w:rsid w:val="00E54E89"/>
    <w:rsid w:val="00E5506B"/>
    <w:rsid w:val="00E552AD"/>
    <w:rsid w:val="00E609BF"/>
    <w:rsid w:val="00E61C51"/>
    <w:rsid w:val="00E6511C"/>
    <w:rsid w:val="00E66137"/>
    <w:rsid w:val="00E6645A"/>
    <w:rsid w:val="00E664A5"/>
    <w:rsid w:val="00E66BFA"/>
    <w:rsid w:val="00E66E96"/>
    <w:rsid w:val="00E677E0"/>
    <w:rsid w:val="00E7110D"/>
    <w:rsid w:val="00E71E66"/>
    <w:rsid w:val="00E7332F"/>
    <w:rsid w:val="00E74B47"/>
    <w:rsid w:val="00E758A4"/>
    <w:rsid w:val="00E76BEE"/>
    <w:rsid w:val="00E810DF"/>
    <w:rsid w:val="00E8476A"/>
    <w:rsid w:val="00E85534"/>
    <w:rsid w:val="00E862EB"/>
    <w:rsid w:val="00E8683C"/>
    <w:rsid w:val="00E8723B"/>
    <w:rsid w:val="00E87FD7"/>
    <w:rsid w:val="00E93792"/>
    <w:rsid w:val="00E95DC2"/>
    <w:rsid w:val="00EA19EF"/>
    <w:rsid w:val="00EA395A"/>
    <w:rsid w:val="00EA4BFB"/>
    <w:rsid w:val="00EA7C09"/>
    <w:rsid w:val="00EB0652"/>
    <w:rsid w:val="00EB219A"/>
    <w:rsid w:val="00EB2940"/>
    <w:rsid w:val="00EB2B47"/>
    <w:rsid w:val="00EB2B5D"/>
    <w:rsid w:val="00EB2C82"/>
    <w:rsid w:val="00EB508A"/>
    <w:rsid w:val="00EB518F"/>
    <w:rsid w:val="00EC1472"/>
    <w:rsid w:val="00EC3652"/>
    <w:rsid w:val="00EC3BC5"/>
    <w:rsid w:val="00EC4356"/>
    <w:rsid w:val="00EC7155"/>
    <w:rsid w:val="00ED1239"/>
    <w:rsid w:val="00ED2199"/>
    <w:rsid w:val="00EE0BE1"/>
    <w:rsid w:val="00EE1789"/>
    <w:rsid w:val="00EE4730"/>
    <w:rsid w:val="00EE4A0C"/>
    <w:rsid w:val="00EE4C97"/>
    <w:rsid w:val="00EE671E"/>
    <w:rsid w:val="00EF0C2B"/>
    <w:rsid w:val="00EF2EA1"/>
    <w:rsid w:val="00EF3146"/>
    <w:rsid w:val="00EF37AC"/>
    <w:rsid w:val="00EF5656"/>
    <w:rsid w:val="00EF696F"/>
    <w:rsid w:val="00EF757D"/>
    <w:rsid w:val="00EF7711"/>
    <w:rsid w:val="00EF7B23"/>
    <w:rsid w:val="00F0186A"/>
    <w:rsid w:val="00F02030"/>
    <w:rsid w:val="00F04866"/>
    <w:rsid w:val="00F075B9"/>
    <w:rsid w:val="00F10E39"/>
    <w:rsid w:val="00F11CE3"/>
    <w:rsid w:val="00F12881"/>
    <w:rsid w:val="00F13C55"/>
    <w:rsid w:val="00F14C67"/>
    <w:rsid w:val="00F16F77"/>
    <w:rsid w:val="00F202A5"/>
    <w:rsid w:val="00F20730"/>
    <w:rsid w:val="00F20961"/>
    <w:rsid w:val="00F23D64"/>
    <w:rsid w:val="00F241D4"/>
    <w:rsid w:val="00F2744D"/>
    <w:rsid w:val="00F303CF"/>
    <w:rsid w:val="00F31AB7"/>
    <w:rsid w:val="00F32639"/>
    <w:rsid w:val="00F33FD7"/>
    <w:rsid w:val="00F34013"/>
    <w:rsid w:val="00F34974"/>
    <w:rsid w:val="00F35072"/>
    <w:rsid w:val="00F357E9"/>
    <w:rsid w:val="00F358A8"/>
    <w:rsid w:val="00F36B5E"/>
    <w:rsid w:val="00F43EE1"/>
    <w:rsid w:val="00F446FC"/>
    <w:rsid w:val="00F44CEB"/>
    <w:rsid w:val="00F47E5C"/>
    <w:rsid w:val="00F54C60"/>
    <w:rsid w:val="00F615D4"/>
    <w:rsid w:val="00F63217"/>
    <w:rsid w:val="00F649DD"/>
    <w:rsid w:val="00F64DF1"/>
    <w:rsid w:val="00F65AC0"/>
    <w:rsid w:val="00F66679"/>
    <w:rsid w:val="00F6702E"/>
    <w:rsid w:val="00F726BC"/>
    <w:rsid w:val="00F72E81"/>
    <w:rsid w:val="00F73795"/>
    <w:rsid w:val="00F7390F"/>
    <w:rsid w:val="00F74E6A"/>
    <w:rsid w:val="00F82D5F"/>
    <w:rsid w:val="00F83619"/>
    <w:rsid w:val="00F83CD7"/>
    <w:rsid w:val="00F83CEE"/>
    <w:rsid w:val="00F92D43"/>
    <w:rsid w:val="00F93FF9"/>
    <w:rsid w:val="00F9426B"/>
    <w:rsid w:val="00F95FBB"/>
    <w:rsid w:val="00F96021"/>
    <w:rsid w:val="00F96091"/>
    <w:rsid w:val="00F9688C"/>
    <w:rsid w:val="00F9742F"/>
    <w:rsid w:val="00FA0AF5"/>
    <w:rsid w:val="00FA1D8C"/>
    <w:rsid w:val="00FA2B39"/>
    <w:rsid w:val="00FA2CA7"/>
    <w:rsid w:val="00FA384C"/>
    <w:rsid w:val="00FA4A46"/>
    <w:rsid w:val="00FA4B9E"/>
    <w:rsid w:val="00FB2836"/>
    <w:rsid w:val="00FB48C8"/>
    <w:rsid w:val="00FB520B"/>
    <w:rsid w:val="00FB73E3"/>
    <w:rsid w:val="00FB7809"/>
    <w:rsid w:val="00FC02CD"/>
    <w:rsid w:val="00FC097A"/>
    <w:rsid w:val="00FC11E3"/>
    <w:rsid w:val="00FC5EC9"/>
    <w:rsid w:val="00FC7865"/>
    <w:rsid w:val="00FC7B4F"/>
    <w:rsid w:val="00FD63D5"/>
    <w:rsid w:val="00FD66C7"/>
    <w:rsid w:val="00FD7570"/>
    <w:rsid w:val="00FE07AF"/>
    <w:rsid w:val="00FE28F9"/>
    <w:rsid w:val="00FE326D"/>
    <w:rsid w:val="00FE41D9"/>
    <w:rsid w:val="00FE535A"/>
    <w:rsid w:val="00FE7A35"/>
    <w:rsid w:val="00FF14D1"/>
    <w:rsid w:val="00FF1FDE"/>
    <w:rsid w:val="00FF20C7"/>
    <w:rsid w:val="00FF2E46"/>
    <w:rsid w:val="00FF4382"/>
    <w:rsid w:val="00FF4CF8"/>
    <w:rsid w:val="00FF5C52"/>
    <w:rsid w:val="00FF5F76"/>
    <w:rsid w:val="00FF61CF"/>
    <w:rsid w:val="00FF68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F3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E46"/>
  </w:style>
  <w:style w:type="paragraph" w:styleId="Heading1">
    <w:name w:val="heading 1"/>
    <w:basedOn w:val="Normal"/>
    <w:next w:val="Normal"/>
    <w:link w:val="Heading1Char"/>
    <w:uiPriority w:val="99"/>
    <w:qFormat/>
    <w:rsid w:val="00AC4243"/>
    <w:pPr>
      <w:keepNext/>
      <w:keepLines/>
      <w:spacing w:before="240" w:after="60" w:line="276" w:lineRule="auto"/>
      <w:ind w:right="27"/>
      <w:jc w:val="both"/>
      <w:outlineLvl w:val="0"/>
    </w:pPr>
    <w:rPr>
      <w:rFonts w:asciiTheme="majorHAnsi" w:eastAsiaTheme="majorEastAsia" w:hAnsiTheme="majorHAnsi" w:cstheme="minorHAnsi"/>
      <w:b/>
      <w:bCs/>
      <w:sz w:val="20"/>
      <w:szCs w:val="20"/>
    </w:rPr>
  </w:style>
  <w:style w:type="paragraph" w:styleId="Heading2">
    <w:name w:val="heading 2"/>
    <w:basedOn w:val="Normal"/>
    <w:next w:val="Normal"/>
    <w:link w:val="Heading2Char"/>
    <w:autoRedefine/>
    <w:uiPriority w:val="99"/>
    <w:qFormat/>
    <w:rsid w:val="005D2426"/>
    <w:pPr>
      <w:keepNext/>
      <w:keepLines/>
      <w:numPr>
        <w:ilvl w:val="1"/>
        <w:numId w:val="3"/>
      </w:numPr>
      <w:spacing w:before="240" w:after="60" w:line="276" w:lineRule="auto"/>
      <w:ind w:right="27"/>
      <w:jc w:val="both"/>
      <w:outlineLvl w:val="1"/>
    </w:pPr>
    <w:rPr>
      <w:rFonts w:asciiTheme="majorHAnsi" w:eastAsiaTheme="majorEastAsia" w:hAnsiTheme="majorHAnsi" w:cstheme="minorHAnsi"/>
      <w:sz w:val="20"/>
      <w:szCs w:val="20"/>
      <w:lang w:eastAsia="en-IN"/>
    </w:rPr>
  </w:style>
  <w:style w:type="paragraph" w:styleId="Heading3">
    <w:name w:val="heading 3"/>
    <w:basedOn w:val="subheading2"/>
    <w:next w:val="subheading2"/>
    <w:link w:val="Heading3Char"/>
    <w:uiPriority w:val="99"/>
    <w:qFormat/>
    <w:rsid w:val="009015BE"/>
    <w:pPr>
      <w:widowControl w:val="0"/>
      <w:numPr>
        <w:numId w:val="5"/>
      </w:numPr>
      <w:spacing w:after="0" w:line="288" w:lineRule="auto"/>
      <w:outlineLvl w:val="2"/>
    </w:pPr>
    <w:rPr>
      <w:rFonts w:cstheme="majorBidi"/>
      <w:bCs w:val="0"/>
      <w:color w:val="000000" w:themeColor="text1"/>
    </w:rPr>
  </w:style>
  <w:style w:type="paragraph" w:styleId="Heading4">
    <w:name w:val="heading 4"/>
    <w:basedOn w:val="Normal"/>
    <w:next w:val="Normal"/>
    <w:link w:val="Heading4Char"/>
    <w:uiPriority w:val="9"/>
    <w:semiHidden/>
    <w:unhideWhenUsed/>
    <w:qFormat/>
    <w:rsid w:val="00682E27"/>
    <w:pPr>
      <w:keepNext/>
      <w:keepLines/>
      <w:spacing w:before="40" w:after="0"/>
      <w:outlineLvl w:val="3"/>
    </w:pPr>
    <w:rPr>
      <w:rFonts w:asciiTheme="majorHAnsi" w:eastAsiaTheme="majorEastAsia" w:hAnsiTheme="majorHAnsi" w:cstheme="majorBidi"/>
      <w:i/>
      <w:iCs/>
      <w:color w:val="A44E00" w:themeColor="accent1" w:themeShade="BF"/>
    </w:rPr>
  </w:style>
  <w:style w:type="paragraph" w:styleId="Heading5">
    <w:name w:val="heading 5"/>
    <w:basedOn w:val="Normal"/>
    <w:next w:val="Normal"/>
    <w:link w:val="Heading5Char"/>
    <w:uiPriority w:val="9"/>
    <w:semiHidden/>
    <w:unhideWhenUsed/>
    <w:qFormat/>
    <w:rsid w:val="00682E27"/>
    <w:pPr>
      <w:keepNext/>
      <w:keepLines/>
      <w:spacing w:before="40" w:after="0"/>
      <w:outlineLvl w:val="4"/>
    </w:pPr>
    <w:rPr>
      <w:rFonts w:asciiTheme="majorHAnsi" w:eastAsiaTheme="majorEastAsia" w:hAnsiTheme="majorHAnsi" w:cstheme="majorBidi"/>
      <w:color w:val="A44E00" w:themeColor="accent1" w:themeShade="BF"/>
    </w:rPr>
  </w:style>
  <w:style w:type="paragraph" w:styleId="Heading6">
    <w:name w:val="heading 6"/>
    <w:basedOn w:val="Normal"/>
    <w:next w:val="Normal"/>
    <w:link w:val="Heading6Char"/>
    <w:uiPriority w:val="9"/>
    <w:semiHidden/>
    <w:unhideWhenUsed/>
    <w:qFormat/>
    <w:rsid w:val="00682E27"/>
    <w:pPr>
      <w:keepNext/>
      <w:keepLines/>
      <w:spacing w:before="40" w:after="0"/>
      <w:outlineLvl w:val="5"/>
    </w:pPr>
    <w:rPr>
      <w:rFonts w:asciiTheme="majorHAnsi" w:eastAsiaTheme="majorEastAsia" w:hAnsiTheme="majorHAnsi" w:cstheme="majorBidi"/>
      <w:color w:val="6D3300" w:themeColor="accent1" w:themeShade="7F"/>
    </w:rPr>
  </w:style>
  <w:style w:type="paragraph" w:styleId="Heading7">
    <w:name w:val="heading 7"/>
    <w:basedOn w:val="Normal"/>
    <w:next w:val="Normal"/>
    <w:link w:val="Heading7Char"/>
    <w:uiPriority w:val="9"/>
    <w:semiHidden/>
    <w:unhideWhenUsed/>
    <w:qFormat/>
    <w:rsid w:val="00682E27"/>
    <w:pPr>
      <w:keepNext/>
      <w:keepLines/>
      <w:spacing w:before="40" w:after="0"/>
      <w:outlineLvl w:val="6"/>
    </w:pPr>
    <w:rPr>
      <w:rFonts w:asciiTheme="majorHAnsi" w:eastAsiaTheme="majorEastAsia" w:hAnsiTheme="majorHAnsi" w:cstheme="majorBidi"/>
      <w:i/>
      <w:iCs/>
      <w:color w:val="6D3300" w:themeColor="accent1" w:themeShade="7F"/>
    </w:rPr>
  </w:style>
  <w:style w:type="paragraph" w:styleId="Heading8">
    <w:name w:val="heading 8"/>
    <w:basedOn w:val="Normal"/>
    <w:next w:val="Normal"/>
    <w:link w:val="Heading8Char"/>
    <w:uiPriority w:val="9"/>
    <w:semiHidden/>
    <w:unhideWhenUsed/>
    <w:qFormat/>
    <w:rsid w:val="00682E2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82E2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C4243"/>
    <w:rPr>
      <w:rFonts w:asciiTheme="majorHAnsi" w:eastAsiaTheme="majorEastAsia" w:hAnsiTheme="majorHAnsi" w:cstheme="minorHAnsi"/>
      <w:b/>
      <w:bCs/>
      <w:sz w:val="20"/>
      <w:szCs w:val="20"/>
    </w:rPr>
  </w:style>
  <w:style w:type="character" w:customStyle="1" w:styleId="Heading2Char">
    <w:name w:val="Heading 2 Char"/>
    <w:basedOn w:val="DefaultParagraphFont"/>
    <w:link w:val="Heading2"/>
    <w:uiPriority w:val="99"/>
    <w:rsid w:val="005D2426"/>
    <w:rPr>
      <w:rFonts w:asciiTheme="majorHAnsi" w:eastAsiaTheme="majorEastAsia" w:hAnsiTheme="majorHAnsi" w:cstheme="minorHAnsi"/>
      <w:sz w:val="20"/>
      <w:szCs w:val="20"/>
      <w:lang w:eastAsia="en-IN"/>
    </w:rPr>
  </w:style>
  <w:style w:type="character" w:customStyle="1" w:styleId="Heading3Char">
    <w:name w:val="Heading 3 Char"/>
    <w:basedOn w:val="DefaultParagraphFont"/>
    <w:link w:val="Heading3"/>
    <w:uiPriority w:val="99"/>
    <w:rsid w:val="009015BE"/>
    <w:rPr>
      <w:rFonts w:asciiTheme="majorHAnsi" w:eastAsiaTheme="majorEastAsia" w:hAnsiTheme="majorHAnsi" w:cstheme="majorBidi"/>
      <w:color w:val="000000" w:themeColor="text1"/>
      <w:sz w:val="20"/>
      <w:szCs w:val="20"/>
    </w:rPr>
  </w:style>
  <w:style w:type="paragraph" w:styleId="ListParagraph">
    <w:name w:val="List Paragraph"/>
    <w:aliases w:val="Report Para,WinDForce-Letter"/>
    <w:basedOn w:val="Normal"/>
    <w:link w:val="ListParagraphChar"/>
    <w:uiPriority w:val="34"/>
    <w:qFormat/>
    <w:rsid w:val="007F7CAB"/>
    <w:pPr>
      <w:tabs>
        <w:tab w:val="left" w:pos="720"/>
      </w:tabs>
      <w:spacing w:after="0" w:line="240" w:lineRule="auto"/>
      <w:ind w:left="720"/>
    </w:pPr>
    <w:rPr>
      <w:rFonts w:ascii="Arial" w:eastAsia="Times New Roman" w:hAnsi="Arial" w:cs="Times New Roman"/>
      <w:szCs w:val="20"/>
      <w:lang w:val="en-GB"/>
    </w:rPr>
  </w:style>
  <w:style w:type="paragraph" w:customStyle="1" w:styleId="Default">
    <w:name w:val="Default"/>
    <w:rsid w:val="007F7CAB"/>
    <w:pPr>
      <w:autoSpaceDE w:val="0"/>
      <w:autoSpaceDN w:val="0"/>
      <w:adjustRightInd w:val="0"/>
      <w:spacing w:after="0" w:line="240" w:lineRule="auto"/>
    </w:pPr>
    <w:rPr>
      <w:rFonts w:ascii="Calibri" w:eastAsia="Times New Roman" w:hAnsi="Calibri" w:cs="Calibri"/>
      <w:color w:val="000000"/>
      <w:sz w:val="24"/>
      <w:szCs w:val="24"/>
      <w:lang w:eastAsia="en-GB"/>
    </w:rPr>
  </w:style>
  <w:style w:type="paragraph" w:customStyle="1" w:styleId="CM103">
    <w:name w:val="CM103"/>
    <w:basedOn w:val="Default"/>
    <w:next w:val="Default"/>
    <w:uiPriority w:val="99"/>
    <w:rsid w:val="007F7CAB"/>
    <w:rPr>
      <w:rFonts w:ascii="Arial Unicode MS" w:eastAsia="Arial Unicode MS" w:hAnsi="Times New Roman" w:cs="Arial Unicode MS"/>
      <w:color w:val="auto"/>
    </w:rPr>
  </w:style>
  <w:style w:type="paragraph" w:customStyle="1" w:styleId="SmartHeading1">
    <w:name w:val="Smart Heading 1"/>
    <w:basedOn w:val="Heading1"/>
    <w:link w:val="SmartHeading1Char"/>
    <w:autoRedefine/>
    <w:qFormat/>
    <w:rsid w:val="00AC4243"/>
    <w:pPr>
      <w:spacing w:before="480" w:after="240" w:line="259" w:lineRule="auto"/>
      <w:ind w:left="360" w:hanging="360"/>
    </w:pPr>
    <w:rPr>
      <w:rFonts w:ascii="Georgia" w:hAnsi="Georgia" w:cstheme="majorBidi"/>
      <w:i/>
      <w:color w:val="000000" w:themeColor="text1"/>
      <w:sz w:val="24"/>
      <w:szCs w:val="24"/>
    </w:rPr>
  </w:style>
  <w:style w:type="character" w:customStyle="1" w:styleId="SmartHeading1Char">
    <w:name w:val="Smart Heading 1 Char"/>
    <w:basedOn w:val="DefaultParagraphFont"/>
    <w:link w:val="SmartHeading1"/>
    <w:rsid w:val="00AC4243"/>
    <w:rPr>
      <w:rFonts w:ascii="Georgia" w:eastAsiaTheme="majorEastAsia" w:hAnsi="Georgia" w:cstheme="majorBidi"/>
      <w:b/>
      <w:bCs/>
      <w:i/>
      <w:color w:val="000000" w:themeColor="text1"/>
      <w:sz w:val="24"/>
      <w:szCs w:val="24"/>
    </w:rPr>
  </w:style>
  <w:style w:type="paragraph" w:styleId="NormalWeb">
    <w:name w:val="Normal (Web)"/>
    <w:basedOn w:val="Normal"/>
    <w:uiPriority w:val="99"/>
    <w:unhideWhenUsed/>
    <w:rsid w:val="00D962F7"/>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D962F7"/>
    <w:pPr>
      <w:spacing w:after="200" w:line="240" w:lineRule="auto"/>
    </w:pPr>
    <w:rPr>
      <w:i/>
      <w:iCs/>
      <w:color w:val="DC6900" w:themeColor="text2"/>
      <w:sz w:val="18"/>
      <w:szCs w:val="18"/>
    </w:rPr>
  </w:style>
  <w:style w:type="table" w:styleId="TableGrid">
    <w:name w:val="Table Grid"/>
    <w:aliases w:val="ED Style 4"/>
    <w:basedOn w:val="TableNormal"/>
    <w:uiPriority w:val="59"/>
    <w:rsid w:val="008B34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2">
    <w:name w:val="sub heading 2"/>
    <w:basedOn w:val="Heading1"/>
    <w:link w:val="subheading2Char"/>
    <w:qFormat/>
    <w:rsid w:val="00AC4243"/>
    <w:rPr>
      <w:b w:val="0"/>
    </w:rPr>
  </w:style>
  <w:style w:type="paragraph" w:customStyle="1" w:styleId="subheading3">
    <w:name w:val="sub heading 3"/>
    <w:basedOn w:val="subheading2"/>
    <w:link w:val="subheading3Char"/>
    <w:qFormat/>
    <w:rsid w:val="00AC4243"/>
    <w:pPr>
      <w:numPr>
        <w:ilvl w:val="2"/>
      </w:numPr>
      <w:ind w:left="270"/>
    </w:pPr>
  </w:style>
  <w:style w:type="character" w:customStyle="1" w:styleId="subheading2Char">
    <w:name w:val="sub heading 2 Char"/>
    <w:basedOn w:val="Heading1Char"/>
    <w:link w:val="subheading2"/>
    <w:rsid w:val="00AC4243"/>
    <w:rPr>
      <w:rFonts w:asciiTheme="majorHAnsi" w:eastAsiaTheme="majorEastAsia" w:hAnsiTheme="majorHAnsi" w:cstheme="minorHAnsi"/>
      <w:b w:val="0"/>
      <w:bCs/>
      <w:sz w:val="20"/>
      <w:szCs w:val="20"/>
    </w:rPr>
  </w:style>
  <w:style w:type="paragraph" w:customStyle="1" w:styleId="SmartBody">
    <w:name w:val="Smart Body"/>
    <w:basedOn w:val="BodyText"/>
    <w:link w:val="SmartBodyChar"/>
    <w:autoRedefine/>
    <w:qFormat/>
    <w:rsid w:val="00DE632B"/>
    <w:pPr>
      <w:spacing w:after="0" w:line="240" w:lineRule="auto"/>
      <w:ind w:left="90"/>
    </w:pPr>
    <w:rPr>
      <w:rFonts w:ascii="Georgia" w:hAnsi="Georgia"/>
      <w:b/>
      <w:color w:val="000000" w:themeColor="text1"/>
      <w:sz w:val="20"/>
      <w:szCs w:val="20"/>
    </w:rPr>
  </w:style>
  <w:style w:type="character" w:customStyle="1" w:styleId="subheading3Char">
    <w:name w:val="sub heading 3 Char"/>
    <w:basedOn w:val="subheading2Char"/>
    <w:link w:val="subheading3"/>
    <w:rsid w:val="00AC4243"/>
    <w:rPr>
      <w:rFonts w:asciiTheme="majorHAnsi" w:eastAsiaTheme="majorEastAsia" w:hAnsiTheme="majorHAnsi" w:cstheme="minorHAnsi"/>
      <w:b w:val="0"/>
      <w:bCs/>
      <w:sz w:val="20"/>
      <w:szCs w:val="20"/>
    </w:rPr>
  </w:style>
  <w:style w:type="character" w:customStyle="1" w:styleId="SmartBodyChar">
    <w:name w:val="Smart Body Char"/>
    <w:basedOn w:val="BodyTextChar"/>
    <w:link w:val="SmartBody"/>
    <w:rsid w:val="00DE632B"/>
    <w:rPr>
      <w:rFonts w:ascii="Georgia" w:hAnsi="Georgia"/>
      <w:b/>
      <w:color w:val="000000" w:themeColor="text1"/>
      <w:sz w:val="20"/>
      <w:szCs w:val="20"/>
    </w:rPr>
  </w:style>
  <w:style w:type="paragraph" w:styleId="BodyText">
    <w:name w:val="Body Text"/>
    <w:basedOn w:val="Normal"/>
    <w:link w:val="BodyTextChar"/>
    <w:uiPriority w:val="99"/>
    <w:semiHidden/>
    <w:unhideWhenUsed/>
    <w:rsid w:val="00BA2F46"/>
    <w:pPr>
      <w:spacing w:after="120"/>
    </w:pPr>
  </w:style>
  <w:style w:type="character" w:customStyle="1" w:styleId="BodyTextChar">
    <w:name w:val="Body Text Char"/>
    <w:basedOn w:val="DefaultParagraphFont"/>
    <w:link w:val="BodyText"/>
    <w:uiPriority w:val="99"/>
    <w:semiHidden/>
    <w:rsid w:val="00BA2F46"/>
  </w:style>
  <w:style w:type="paragraph" w:styleId="BalloonText">
    <w:name w:val="Balloon Text"/>
    <w:basedOn w:val="Normal"/>
    <w:link w:val="BalloonTextChar"/>
    <w:uiPriority w:val="99"/>
    <w:semiHidden/>
    <w:unhideWhenUsed/>
    <w:rsid w:val="00C64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4618"/>
    <w:rPr>
      <w:rFonts w:ascii="Segoe UI" w:hAnsi="Segoe UI" w:cs="Segoe UI"/>
      <w:sz w:val="18"/>
      <w:szCs w:val="18"/>
    </w:rPr>
  </w:style>
  <w:style w:type="paragraph" w:styleId="TOCHeading">
    <w:name w:val="TOC Heading"/>
    <w:basedOn w:val="Heading1"/>
    <w:next w:val="Normal"/>
    <w:uiPriority w:val="39"/>
    <w:unhideWhenUsed/>
    <w:qFormat/>
    <w:rsid w:val="003E3066"/>
    <w:pPr>
      <w:spacing w:after="0" w:line="259" w:lineRule="auto"/>
      <w:ind w:right="0"/>
      <w:jc w:val="left"/>
      <w:outlineLvl w:val="9"/>
    </w:pPr>
    <w:rPr>
      <w:rFonts w:cstheme="majorBidi"/>
      <w:b w:val="0"/>
      <w:bCs w:val="0"/>
      <w:color w:val="A44E00" w:themeColor="accent1" w:themeShade="BF"/>
      <w:sz w:val="32"/>
      <w:szCs w:val="32"/>
    </w:rPr>
  </w:style>
  <w:style w:type="paragraph" w:styleId="TOC1">
    <w:name w:val="toc 1"/>
    <w:basedOn w:val="Normal"/>
    <w:next w:val="Normal"/>
    <w:autoRedefine/>
    <w:uiPriority w:val="39"/>
    <w:unhideWhenUsed/>
    <w:rsid w:val="00A051F9"/>
    <w:pPr>
      <w:tabs>
        <w:tab w:val="left" w:pos="440"/>
        <w:tab w:val="right" w:leader="dot" w:pos="9350"/>
      </w:tabs>
      <w:spacing w:before="240" w:after="120"/>
    </w:pPr>
    <w:rPr>
      <w:rFonts w:cstheme="minorHAnsi"/>
      <w:b/>
      <w:bCs/>
      <w:sz w:val="20"/>
      <w:szCs w:val="20"/>
    </w:rPr>
  </w:style>
  <w:style w:type="paragraph" w:styleId="TOC3">
    <w:name w:val="toc 3"/>
    <w:basedOn w:val="Normal"/>
    <w:next w:val="Normal"/>
    <w:autoRedefine/>
    <w:uiPriority w:val="39"/>
    <w:unhideWhenUsed/>
    <w:rsid w:val="003E3066"/>
    <w:pPr>
      <w:spacing w:after="0"/>
      <w:ind w:left="440"/>
    </w:pPr>
    <w:rPr>
      <w:rFonts w:cstheme="minorHAnsi"/>
      <w:sz w:val="20"/>
      <w:szCs w:val="20"/>
    </w:rPr>
  </w:style>
  <w:style w:type="paragraph" w:styleId="TOC2">
    <w:name w:val="toc 2"/>
    <w:basedOn w:val="Normal"/>
    <w:next w:val="Normal"/>
    <w:autoRedefine/>
    <w:uiPriority w:val="39"/>
    <w:unhideWhenUsed/>
    <w:rsid w:val="003E3066"/>
    <w:pPr>
      <w:spacing w:before="120" w:after="0"/>
      <w:ind w:left="220"/>
    </w:pPr>
    <w:rPr>
      <w:rFonts w:cstheme="minorHAnsi"/>
      <w:i/>
      <w:iCs/>
      <w:sz w:val="20"/>
      <w:szCs w:val="20"/>
    </w:rPr>
  </w:style>
  <w:style w:type="character" w:styleId="Hyperlink">
    <w:name w:val="Hyperlink"/>
    <w:basedOn w:val="DefaultParagraphFont"/>
    <w:uiPriority w:val="99"/>
    <w:unhideWhenUsed/>
    <w:rsid w:val="003E3066"/>
    <w:rPr>
      <w:color w:val="0000FF" w:themeColor="hyperlink"/>
      <w:u w:val="single"/>
    </w:rPr>
  </w:style>
  <w:style w:type="character" w:customStyle="1" w:styleId="Heading4Char">
    <w:name w:val="Heading 4 Char"/>
    <w:basedOn w:val="DefaultParagraphFont"/>
    <w:link w:val="Heading4"/>
    <w:uiPriority w:val="9"/>
    <w:semiHidden/>
    <w:rsid w:val="00682E27"/>
    <w:rPr>
      <w:rFonts w:asciiTheme="majorHAnsi" w:eastAsiaTheme="majorEastAsia" w:hAnsiTheme="majorHAnsi" w:cstheme="majorBidi"/>
      <w:i/>
      <w:iCs/>
      <w:color w:val="A44E00" w:themeColor="accent1" w:themeShade="BF"/>
    </w:rPr>
  </w:style>
  <w:style w:type="character" w:customStyle="1" w:styleId="Heading5Char">
    <w:name w:val="Heading 5 Char"/>
    <w:basedOn w:val="DefaultParagraphFont"/>
    <w:link w:val="Heading5"/>
    <w:uiPriority w:val="9"/>
    <w:semiHidden/>
    <w:rsid w:val="00682E27"/>
    <w:rPr>
      <w:rFonts w:asciiTheme="majorHAnsi" w:eastAsiaTheme="majorEastAsia" w:hAnsiTheme="majorHAnsi" w:cstheme="majorBidi"/>
      <w:color w:val="A44E00" w:themeColor="accent1" w:themeShade="BF"/>
    </w:rPr>
  </w:style>
  <w:style w:type="character" w:customStyle="1" w:styleId="Heading6Char">
    <w:name w:val="Heading 6 Char"/>
    <w:basedOn w:val="DefaultParagraphFont"/>
    <w:link w:val="Heading6"/>
    <w:uiPriority w:val="9"/>
    <w:semiHidden/>
    <w:rsid w:val="00682E27"/>
    <w:rPr>
      <w:rFonts w:asciiTheme="majorHAnsi" w:eastAsiaTheme="majorEastAsia" w:hAnsiTheme="majorHAnsi" w:cstheme="majorBidi"/>
      <w:color w:val="6D3300" w:themeColor="accent1" w:themeShade="7F"/>
    </w:rPr>
  </w:style>
  <w:style w:type="character" w:customStyle="1" w:styleId="Heading7Char">
    <w:name w:val="Heading 7 Char"/>
    <w:basedOn w:val="DefaultParagraphFont"/>
    <w:link w:val="Heading7"/>
    <w:uiPriority w:val="9"/>
    <w:semiHidden/>
    <w:rsid w:val="00682E27"/>
    <w:rPr>
      <w:rFonts w:asciiTheme="majorHAnsi" w:eastAsiaTheme="majorEastAsia" w:hAnsiTheme="majorHAnsi" w:cstheme="majorBidi"/>
      <w:i/>
      <w:iCs/>
      <w:color w:val="6D3300" w:themeColor="accent1" w:themeShade="7F"/>
    </w:rPr>
  </w:style>
  <w:style w:type="character" w:customStyle="1" w:styleId="Heading8Char">
    <w:name w:val="Heading 8 Char"/>
    <w:basedOn w:val="DefaultParagraphFont"/>
    <w:link w:val="Heading8"/>
    <w:uiPriority w:val="9"/>
    <w:semiHidden/>
    <w:rsid w:val="00682E2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82E27"/>
    <w:rPr>
      <w:rFonts w:asciiTheme="majorHAnsi" w:eastAsiaTheme="majorEastAsia" w:hAnsiTheme="majorHAnsi" w:cstheme="majorBidi"/>
      <w:i/>
      <w:iCs/>
      <w:color w:val="272727" w:themeColor="text1" w:themeTint="D8"/>
      <w:sz w:val="21"/>
      <w:szCs w:val="21"/>
    </w:rPr>
  </w:style>
  <w:style w:type="paragraph" w:customStyle="1" w:styleId="head1">
    <w:name w:val="head 1"/>
    <w:basedOn w:val="Heading1"/>
    <w:link w:val="head1Char"/>
    <w:qFormat/>
    <w:rsid w:val="009015BE"/>
    <w:pPr>
      <w:ind w:right="0"/>
    </w:pPr>
    <w:rPr>
      <w:rFonts w:ascii="Georgia" w:hAnsi="Georgia"/>
      <w:sz w:val="22"/>
      <w:szCs w:val="22"/>
    </w:rPr>
  </w:style>
  <w:style w:type="paragraph" w:customStyle="1" w:styleId="head2">
    <w:name w:val="head 2"/>
    <w:basedOn w:val="head1"/>
    <w:link w:val="head2Char"/>
    <w:uiPriority w:val="99"/>
    <w:qFormat/>
    <w:rsid w:val="009015BE"/>
    <w:pPr>
      <w:ind w:left="792" w:hanging="432"/>
    </w:pPr>
  </w:style>
  <w:style w:type="character" w:customStyle="1" w:styleId="head1Char">
    <w:name w:val="head 1 Char"/>
    <w:basedOn w:val="Heading1Char"/>
    <w:link w:val="head1"/>
    <w:rsid w:val="009015BE"/>
    <w:rPr>
      <w:rFonts w:ascii="Georgia" w:eastAsiaTheme="majorEastAsia" w:hAnsi="Georgia" w:cstheme="minorHAnsi"/>
      <w:b/>
      <w:bCs/>
      <w:sz w:val="20"/>
      <w:szCs w:val="20"/>
    </w:rPr>
  </w:style>
  <w:style w:type="character" w:customStyle="1" w:styleId="head2Char">
    <w:name w:val="head 2 Char"/>
    <w:basedOn w:val="head1Char"/>
    <w:link w:val="head2"/>
    <w:uiPriority w:val="99"/>
    <w:rsid w:val="009015BE"/>
    <w:rPr>
      <w:rFonts w:ascii="Georgia" w:eastAsiaTheme="majorEastAsia" w:hAnsi="Georgia" w:cstheme="minorHAnsi"/>
      <w:b/>
      <w:bCs/>
      <w:sz w:val="20"/>
      <w:szCs w:val="20"/>
    </w:rPr>
  </w:style>
  <w:style w:type="paragraph" w:styleId="Header">
    <w:name w:val="header"/>
    <w:basedOn w:val="Normal"/>
    <w:link w:val="HeaderChar"/>
    <w:uiPriority w:val="99"/>
    <w:unhideWhenUsed/>
    <w:rsid w:val="00625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5F5D"/>
  </w:style>
  <w:style w:type="paragraph" w:styleId="Footer">
    <w:name w:val="footer"/>
    <w:basedOn w:val="Normal"/>
    <w:link w:val="FooterChar"/>
    <w:uiPriority w:val="99"/>
    <w:unhideWhenUsed/>
    <w:rsid w:val="00625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5F5D"/>
  </w:style>
  <w:style w:type="paragraph" w:customStyle="1" w:styleId="Style3">
    <w:name w:val="Style3"/>
    <w:basedOn w:val="Normal"/>
    <w:link w:val="Style3Char"/>
    <w:autoRedefine/>
    <w:qFormat/>
    <w:rsid w:val="00F12881"/>
    <w:pPr>
      <w:spacing w:after="0" w:line="276" w:lineRule="auto"/>
      <w:jc w:val="both"/>
      <w:outlineLvl w:val="2"/>
    </w:pPr>
    <w:rPr>
      <w:rFonts w:ascii="Georgia" w:hAnsi="Georgia" w:cs="Times New Roman"/>
      <w:b/>
      <w:bCs/>
      <w:szCs w:val="24"/>
      <w:lang w:val="en-GB"/>
    </w:rPr>
  </w:style>
  <w:style w:type="character" w:customStyle="1" w:styleId="Style3Char">
    <w:name w:val="Style3 Char"/>
    <w:basedOn w:val="DefaultParagraphFont"/>
    <w:link w:val="Style3"/>
    <w:rsid w:val="00F12881"/>
    <w:rPr>
      <w:rFonts w:ascii="Georgia" w:hAnsi="Georgia" w:cs="Times New Roman"/>
      <w:b/>
      <w:bCs/>
      <w:szCs w:val="24"/>
      <w:lang w:val="en-GB"/>
    </w:rPr>
  </w:style>
  <w:style w:type="character" w:styleId="CommentReference">
    <w:name w:val="annotation reference"/>
    <w:basedOn w:val="DefaultParagraphFont"/>
    <w:uiPriority w:val="99"/>
    <w:semiHidden/>
    <w:unhideWhenUsed/>
    <w:rsid w:val="006C25AC"/>
    <w:rPr>
      <w:sz w:val="16"/>
      <w:szCs w:val="16"/>
    </w:rPr>
  </w:style>
  <w:style w:type="paragraph" w:styleId="CommentText">
    <w:name w:val="annotation text"/>
    <w:basedOn w:val="Normal"/>
    <w:link w:val="CommentTextChar"/>
    <w:uiPriority w:val="99"/>
    <w:semiHidden/>
    <w:unhideWhenUsed/>
    <w:rsid w:val="006C25AC"/>
    <w:pPr>
      <w:spacing w:line="240" w:lineRule="auto"/>
    </w:pPr>
    <w:rPr>
      <w:sz w:val="20"/>
      <w:szCs w:val="20"/>
    </w:rPr>
  </w:style>
  <w:style w:type="character" w:customStyle="1" w:styleId="CommentTextChar">
    <w:name w:val="Comment Text Char"/>
    <w:basedOn w:val="DefaultParagraphFont"/>
    <w:link w:val="CommentText"/>
    <w:uiPriority w:val="99"/>
    <w:semiHidden/>
    <w:rsid w:val="006C25AC"/>
    <w:rPr>
      <w:sz w:val="20"/>
      <w:szCs w:val="20"/>
    </w:rPr>
  </w:style>
  <w:style w:type="paragraph" w:styleId="CommentSubject">
    <w:name w:val="annotation subject"/>
    <w:basedOn w:val="CommentText"/>
    <w:next w:val="CommentText"/>
    <w:link w:val="CommentSubjectChar"/>
    <w:uiPriority w:val="99"/>
    <w:semiHidden/>
    <w:unhideWhenUsed/>
    <w:rsid w:val="006C25AC"/>
    <w:rPr>
      <w:b/>
      <w:bCs/>
    </w:rPr>
  </w:style>
  <w:style w:type="character" w:customStyle="1" w:styleId="CommentSubjectChar">
    <w:name w:val="Comment Subject Char"/>
    <w:basedOn w:val="CommentTextChar"/>
    <w:link w:val="CommentSubject"/>
    <w:uiPriority w:val="99"/>
    <w:semiHidden/>
    <w:rsid w:val="006C25AC"/>
    <w:rPr>
      <w:b/>
      <w:bCs/>
      <w:sz w:val="20"/>
      <w:szCs w:val="20"/>
    </w:rPr>
  </w:style>
  <w:style w:type="paragraph" w:customStyle="1" w:styleId="tableofcontents">
    <w:name w:val="table of contents"/>
    <w:basedOn w:val="NoSpacing"/>
    <w:link w:val="tableofcontentsChar"/>
    <w:autoRedefine/>
    <w:qFormat/>
    <w:rsid w:val="00A75950"/>
    <w:pPr>
      <w:keepNext/>
      <w:keepLines/>
      <w:widowControl w:val="0"/>
      <w:jc w:val="center"/>
    </w:pPr>
    <w:rPr>
      <w:rFonts w:ascii="Georgia" w:hAnsi="Georgia"/>
      <w:b/>
      <w:sz w:val="20"/>
      <w:szCs w:val="20"/>
    </w:rPr>
  </w:style>
  <w:style w:type="character" w:customStyle="1" w:styleId="tableofcontentsChar">
    <w:name w:val="table of contents Char"/>
    <w:basedOn w:val="DefaultParagraphFont"/>
    <w:link w:val="tableofcontents"/>
    <w:rsid w:val="00A75950"/>
    <w:rPr>
      <w:rFonts w:ascii="Georgia" w:hAnsi="Georgia"/>
      <w:b/>
      <w:sz w:val="20"/>
      <w:szCs w:val="20"/>
    </w:rPr>
  </w:style>
  <w:style w:type="paragraph" w:styleId="NoSpacing">
    <w:name w:val="No Spacing"/>
    <w:uiPriority w:val="1"/>
    <w:qFormat/>
    <w:rsid w:val="00E3047C"/>
    <w:pPr>
      <w:spacing w:after="0" w:line="240" w:lineRule="auto"/>
    </w:pPr>
  </w:style>
  <w:style w:type="paragraph" w:customStyle="1" w:styleId="Style">
    <w:name w:val="Style"/>
    <w:rsid w:val="0067602A"/>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ListParagraphChar">
    <w:name w:val="List Paragraph Char"/>
    <w:aliases w:val="Report Para Char,WinDForce-Letter Char"/>
    <w:basedOn w:val="DefaultParagraphFont"/>
    <w:link w:val="ListParagraph"/>
    <w:uiPriority w:val="34"/>
    <w:rsid w:val="00E8683C"/>
    <w:rPr>
      <w:rFonts w:ascii="Arial" w:eastAsia="Times New Roman" w:hAnsi="Arial" w:cs="Times New Roman"/>
      <w:szCs w:val="20"/>
      <w:lang w:val="en-GB"/>
    </w:rPr>
  </w:style>
  <w:style w:type="table" w:customStyle="1" w:styleId="TableGrid2">
    <w:name w:val="Table Grid2"/>
    <w:basedOn w:val="TableNormal"/>
    <w:next w:val="TableGrid"/>
    <w:uiPriority w:val="39"/>
    <w:rsid w:val="00E868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E1EF1"/>
    <w:pPr>
      <w:spacing w:after="0" w:line="240" w:lineRule="auto"/>
    </w:pPr>
  </w:style>
  <w:style w:type="table" w:customStyle="1" w:styleId="GridTable41">
    <w:name w:val="Grid Table 41"/>
    <w:basedOn w:val="TableNormal"/>
    <w:uiPriority w:val="49"/>
    <w:rsid w:val="00A41A4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4">
    <w:name w:val="toc 4"/>
    <w:basedOn w:val="Normal"/>
    <w:next w:val="Normal"/>
    <w:autoRedefine/>
    <w:uiPriority w:val="39"/>
    <w:unhideWhenUsed/>
    <w:rsid w:val="00A051F9"/>
    <w:pPr>
      <w:spacing w:after="0"/>
      <w:ind w:left="660"/>
    </w:pPr>
    <w:rPr>
      <w:rFonts w:cstheme="minorHAnsi"/>
      <w:sz w:val="20"/>
      <w:szCs w:val="20"/>
    </w:rPr>
  </w:style>
  <w:style w:type="paragraph" w:styleId="TOC5">
    <w:name w:val="toc 5"/>
    <w:basedOn w:val="Normal"/>
    <w:next w:val="Normal"/>
    <w:autoRedefine/>
    <w:uiPriority w:val="39"/>
    <w:unhideWhenUsed/>
    <w:rsid w:val="00A051F9"/>
    <w:pPr>
      <w:spacing w:after="0"/>
      <w:ind w:left="880"/>
    </w:pPr>
    <w:rPr>
      <w:rFonts w:cstheme="minorHAnsi"/>
      <w:sz w:val="20"/>
      <w:szCs w:val="20"/>
    </w:rPr>
  </w:style>
  <w:style w:type="paragraph" w:styleId="TOC6">
    <w:name w:val="toc 6"/>
    <w:basedOn w:val="Normal"/>
    <w:next w:val="Normal"/>
    <w:autoRedefine/>
    <w:uiPriority w:val="39"/>
    <w:unhideWhenUsed/>
    <w:rsid w:val="00A051F9"/>
    <w:pPr>
      <w:spacing w:after="0"/>
      <w:ind w:left="1100"/>
    </w:pPr>
    <w:rPr>
      <w:rFonts w:cstheme="minorHAnsi"/>
      <w:sz w:val="20"/>
      <w:szCs w:val="20"/>
    </w:rPr>
  </w:style>
  <w:style w:type="paragraph" w:styleId="TOC7">
    <w:name w:val="toc 7"/>
    <w:basedOn w:val="Normal"/>
    <w:next w:val="Normal"/>
    <w:autoRedefine/>
    <w:uiPriority w:val="39"/>
    <w:unhideWhenUsed/>
    <w:rsid w:val="00A051F9"/>
    <w:pPr>
      <w:spacing w:after="0"/>
      <w:ind w:left="1320"/>
    </w:pPr>
    <w:rPr>
      <w:rFonts w:cstheme="minorHAnsi"/>
      <w:sz w:val="20"/>
      <w:szCs w:val="20"/>
    </w:rPr>
  </w:style>
  <w:style w:type="paragraph" w:styleId="TOC8">
    <w:name w:val="toc 8"/>
    <w:basedOn w:val="Normal"/>
    <w:next w:val="Normal"/>
    <w:autoRedefine/>
    <w:uiPriority w:val="39"/>
    <w:unhideWhenUsed/>
    <w:rsid w:val="00A051F9"/>
    <w:pPr>
      <w:spacing w:after="0"/>
      <w:ind w:left="1540"/>
    </w:pPr>
    <w:rPr>
      <w:rFonts w:cstheme="minorHAnsi"/>
      <w:sz w:val="20"/>
      <w:szCs w:val="20"/>
    </w:rPr>
  </w:style>
  <w:style w:type="paragraph" w:styleId="TOC9">
    <w:name w:val="toc 9"/>
    <w:basedOn w:val="Normal"/>
    <w:next w:val="Normal"/>
    <w:autoRedefine/>
    <w:uiPriority w:val="39"/>
    <w:unhideWhenUsed/>
    <w:rsid w:val="00A051F9"/>
    <w:pPr>
      <w:spacing w:after="0"/>
      <w:ind w:left="1760"/>
    </w:pPr>
    <w:rPr>
      <w:rFonts w:cstheme="minorHAnsi"/>
      <w:sz w:val="20"/>
      <w:szCs w:val="20"/>
    </w:rPr>
  </w:style>
  <w:style w:type="table" w:customStyle="1" w:styleId="TableGrid1">
    <w:name w:val="Table Grid1"/>
    <w:basedOn w:val="TableNormal"/>
    <w:next w:val="TableGrid"/>
    <w:uiPriority w:val="59"/>
    <w:rsid w:val="00C16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link w:val="Style4Char"/>
    <w:qFormat/>
    <w:rsid w:val="00C16192"/>
    <w:pPr>
      <w:numPr>
        <w:ilvl w:val="1"/>
        <w:numId w:val="26"/>
      </w:numPr>
      <w:spacing w:after="240" w:line="360" w:lineRule="auto"/>
      <w:jc w:val="both"/>
      <w:outlineLvl w:val="1"/>
    </w:pPr>
    <w:rPr>
      <w:rFonts w:ascii="Georgia" w:hAnsi="Georgia"/>
      <w:b/>
      <w:sz w:val="24"/>
      <w:szCs w:val="36"/>
    </w:rPr>
  </w:style>
  <w:style w:type="character" w:customStyle="1" w:styleId="Style4Char">
    <w:name w:val="Style4 Char"/>
    <w:basedOn w:val="DefaultParagraphFont"/>
    <w:link w:val="Style4"/>
    <w:rsid w:val="00C16192"/>
    <w:rPr>
      <w:rFonts w:ascii="Georgia" w:hAnsi="Georgia"/>
      <w:b/>
      <w:sz w:val="24"/>
      <w:szCs w:val="36"/>
    </w:rPr>
  </w:style>
  <w:style w:type="character" w:customStyle="1" w:styleId="UnresolvedMention1">
    <w:name w:val="Unresolved Mention1"/>
    <w:basedOn w:val="DefaultParagraphFont"/>
    <w:uiPriority w:val="99"/>
    <w:semiHidden/>
    <w:unhideWhenUsed/>
    <w:rsid w:val="0076176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E46"/>
  </w:style>
  <w:style w:type="paragraph" w:styleId="Heading1">
    <w:name w:val="heading 1"/>
    <w:basedOn w:val="Normal"/>
    <w:next w:val="Normal"/>
    <w:link w:val="Heading1Char"/>
    <w:uiPriority w:val="99"/>
    <w:qFormat/>
    <w:rsid w:val="00AC4243"/>
    <w:pPr>
      <w:keepNext/>
      <w:keepLines/>
      <w:spacing w:before="240" w:after="60" w:line="276" w:lineRule="auto"/>
      <w:ind w:right="27"/>
      <w:jc w:val="both"/>
      <w:outlineLvl w:val="0"/>
    </w:pPr>
    <w:rPr>
      <w:rFonts w:asciiTheme="majorHAnsi" w:eastAsiaTheme="majorEastAsia" w:hAnsiTheme="majorHAnsi" w:cstheme="minorHAnsi"/>
      <w:b/>
      <w:bCs/>
      <w:sz w:val="20"/>
      <w:szCs w:val="20"/>
    </w:rPr>
  </w:style>
  <w:style w:type="paragraph" w:styleId="Heading2">
    <w:name w:val="heading 2"/>
    <w:basedOn w:val="Normal"/>
    <w:next w:val="Normal"/>
    <w:link w:val="Heading2Char"/>
    <w:autoRedefine/>
    <w:uiPriority w:val="99"/>
    <w:qFormat/>
    <w:rsid w:val="005D2426"/>
    <w:pPr>
      <w:keepNext/>
      <w:keepLines/>
      <w:numPr>
        <w:ilvl w:val="1"/>
        <w:numId w:val="3"/>
      </w:numPr>
      <w:spacing w:before="240" w:after="60" w:line="276" w:lineRule="auto"/>
      <w:ind w:right="27"/>
      <w:jc w:val="both"/>
      <w:outlineLvl w:val="1"/>
    </w:pPr>
    <w:rPr>
      <w:rFonts w:asciiTheme="majorHAnsi" w:eastAsiaTheme="majorEastAsia" w:hAnsiTheme="majorHAnsi" w:cstheme="minorHAnsi"/>
      <w:sz w:val="20"/>
      <w:szCs w:val="20"/>
      <w:lang w:eastAsia="en-IN"/>
    </w:rPr>
  </w:style>
  <w:style w:type="paragraph" w:styleId="Heading3">
    <w:name w:val="heading 3"/>
    <w:basedOn w:val="subheading2"/>
    <w:next w:val="subheading2"/>
    <w:link w:val="Heading3Char"/>
    <w:uiPriority w:val="99"/>
    <w:qFormat/>
    <w:rsid w:val="009015BE"/>
    <w:pPr>
      <w:widowControl w:val="0"/>
      <w:numPr>
        <w:numId w:val="5"/>
      </w:numPr>
      <w:spacing w:after="0" w:line="288" w:lineRule="auto"/>
      <w:outlineLvl w:val="2"/>
    </w:pPr>
    <w:rPr>
      <w:rFonts w:cstheme="majorBidi"/>
      <w:bCs w:val="0"/>
      <w:color w:val="000000" w:themeColor="text1"/>
    </w:rPr>
  </w:style>
  <w:style w:type="paragraph" w:styleId="Heading4">
    <w:name w:val="heading 4"/>
    <w:basedOn w:val="Normal"/>
    <w:next w:val="Normal"/>
    <w:link w:val="Heading4Char"/>
    <w:uiPriority w:val="9"/>
    <w:semiHidden/>
    <w:unhideWhenUsed/>
    <w:qFormat/>
    <w:rsid w:val="00682E27"/>
    <w:pPr>
      <w:keepNext/>
      <w:keepLines/>
      <w:spacing w:before="40" w:after="0"/>
      <w:outlineLvl w:val="3"/>
    </w:pPr>
    <w:rPr>
      <w:rFonts w:asciiTheme="majorHAnsi" w:eastAsiaTheme="majorEastAsia" w:hAnsiTheme="majorHAnsi" w:cstheme="majorBidi"/>
      <w:i/>
      <w:iCs/>
      <w:color w:val="A44E00" w:themeColor="accent1" w:themeShade="BF"/>
    </w:rPr>
  </w:style>
  <w:style w:type="paragraph" w:styleId="Heading5">
    <w:name w:val="heading 5"/>
    <w:basedOn w:val="Normal"/>
    <w:next w:val="Normal"/>
    <w:link w:val="Heading5Char"/>
    <w:uiPriority w:val="9"/>
    <w:semiHidden/>
    <w:unhideWhenUsed/>
    <w:qFormat/>
    <w:rsid w:val="00682E27"/>
    <w:pPr>
      <w:keepNext/>
      <w:keepLines/>
      <w:spacing w:before="40" w:after="0"/>
      <w:outlineLvl w:val="4"/>
    </w:pPr>
    <w:rPr>
      <w:rFonts w:asciiTheme="majorHAnsi" w:eastAsiaTheme="majorEastAsia" w:hAnsiTheme="majorHAnsi" w:cstheme="majorBidi"/>
      <w:color w:val="A44E00" w:themeColor="accent1" w:themeShade="BF"/>
    </w:rPr>
  </w:style>
  <w:style w:type="paragraph" w:styleId="Heading6">
    <w:name w:val="heading 6"/>
    <w:basedOn w:val="Normal"/>
    <w:next w:val="Normal"/>
    <w:link w:val="Heading6Char"/>
    <w:uiPriority w:val="9"/>
    <w:semiHidden/>
    <w:unhideWhenUsed/>
    <w:qFormat/>
    <w:rsid w:val="00682E27"/>
    <w:pPr>
      <w:keepNext/>
      <w:keepLines/>
      <w:spacing w:before="40" w:after="0"/>
      <w:outlineLvl w:val="5"/>
    </w:pPr>
    <w:rPr>
      <w:rFonts w:asciiTheme="majorHAnsi" w:eastAsiaTheme="majorEastAsia" w:hAnsiTheme="majorHAnsi" w:cstheme="majorBidi"/>
      <w:color w:val="6D3300" w:themeColor="accent1" w:themeShade="7F"/>
    </w:rPr>
  </w:style>
  <w:style w:type="paragraph" w:styleId="Heading7">
    <w:name w:val="heading 7"/>
    <w:basedOn w:val="Normal"/>
    <w:next w:val="Normal"/>
    <w:link w:val="Heading7Char"/>
    <w:uiPriority w:val="9"/>
    <w:semiHidden/>
    <w:unhideWhenUsed/>
    <w:qFormat/>
    <w:rsid w:val="00682E27"/>
    <w:pPr>
      <w:keepNext/>
      <w:keepLines/>
      <w:spacing w:before="40" w:after="0"/>
      <w:outlineLvl w:val="6"/>
    </w:pPr>
    <w:rPr>
      <w:rFonts w:asciiTheme="majorHAnsi" w:eastAsiaTheme="majorEastAsia" w:hAnsiTheme="majorHAnsi" w:cstheme="majorBidi"/>
      <w:i/>
      <w:iCs/>
      <w:color w:val="6D3300" w:themeColor="accent1" w:themeShade="7F"/>
    </w:rPr>
  </w:style>
  <w:style w:type="paragraph" w:styleId="Heading8">
    <w:name w:val="heading 8"/>
    <w:basedOn w:val="Normal"/>
    <w:next w:val="Normal"/>
    <w:link w:val="Heading8Char"/>
    <w:uiPriority w:val="9"/>
    <w:semiHidden/>
    <w:unhideWhenUsed/>
    <w:qFormat/>
    <w:rsid w:val="00682E2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82E2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C4243"/>
    <w:rPr>
      <w:rFonts w:asciiTheme="majorHAnsi" w:eastAsiaTheme="majorEastAsia" w:hAnsiTheme="majorHAnsi" w:cstheme="minorHAnsi"/>
      <w:b/>
      <w:bCs/>
      <w:sz w:val="20"/>
      <w:szCs w:val="20"/>
    </w:rPr>
  </w:style>
  <w:style w:type="character" w:customStyle="1" w:styleId="Heading2Char">
    <w:name w:val="Heading 2 Char"/>
    <w:basedOn w:val="DefaultParagraphFont"/>
    <w:link w:val="Heading2"/>
    <w:uiPriority w:val="99"/>
    <w:rsid w:val="005D2426"/>
    <w:rPr>
      <w:rFonts w:asciiTheme="majorHAnsi" w:eastAsiaTheme="majorEastAsia" w:hAnsiTheme="majorHAnsi" w:cstheme="minorHAnsi"/>
      <w:sz w:val="20"/>
      <w:szCs w:val="20"/>
      <w:lang w:eastAsia="en-IN"/>
    </w:rPr>
  </w:style>
  <w:style w:type="character" w:customStyle="1" w:styleId="Heading3Char">
    <w:name w:val="Heading 3 Char"/>
    <w:basedOn w:val="DefaultParagraphFont"/>
    <w:link w:val="Heading3"/>
    <w:uiPriority w:val="99"/>
    <w:rsid w:val="009015BE"/>
    <w:rPr>
      <w:rFonts w:asciiTheme="majorHAnsi" w:eastAsiaTheme="majorEastAsia" w:hAnsiTheme="majorHAnsi" w:cstheme="majorBidi"/>
      <w:color w:val="000000" w:themeColor="text1"/>
      <w:sz w:val="20"/>
      <w:szCs w:val="20"/>
    </w:rPr>
  </w:style>
  <w:style w:type="paragraph" w:styleId="ListParagraph">
    <w:name w:val="List Paragraph"/>
    <w:aliases w:val="Report Para,WinDForce-Letter"/>
    <w:basedOn w:val="Normal"/>
    <w:link w:val="ListParagraphChar"/>
    <w:uiPriority w:val="34"/>
    <w:qFormat/>
    <w:rsid w:val="007F7CAB"/>
    <w:pPr>
      <w:tabs>
        <w:tab w:val="left" w:pos="720"/>
      </w:tabs>
      <w:spacing w:after="0" w:line="240" w:lineRule="auto"/>
      <w:ind w:left="720"/>
    </w:pPr>
    <w:rPr>
      <w:rFonts w:ascii="Arial" w:eastAsia="Times New Roman" w:hAnsi="Arial" w:cs="Times New Roman"/>
      <w:szCs w:val="20"/>
      <w:lang w:val="en-GB"/>
    </w:rPr>
  </w:style>
  <w:style w:type="paragraph" w:customStyle="1" w:styleId="Default">
    <w:name w:val="Default"/>
    <w:rsid w:val="007F7CAB"/>
    <w:pPr>
      <w:autoSpaceDE w:val="0"/>
      <w:autoSpaceDN w:val="0"/>
      <w:adjustRightInd w:val="0"/>
      <w:spacing w:after="0" w:line="240" w:lineRule="auto"/>
    </w:pPr>
    <w:rPr>
      <w:rFonts w:ascii="Calibri" w:eastAsia="Times New Roman" w:hAnsi="Calibri" w:cs="Calibri"/>
      <w:color w:val="000000"/>
      <w:sz w:val="24"/>
      <w:szCs w:val="24"/>
      <w:lang w:eastAsia="en-GB"/>
    </w:rPr>
  </w:style>
  <w:style w:type="paragraph" w:customStyle="1" w:styleId="CM103">
    <w:name w:val="CM103"/>
    <w:basedOn w:val="Default"/>
    <w:next w:val="Default"/>
    <w:uiPriority w:val="99"/>
    <w:rsid w:val="007F7CAB"/>
    <w:rPr>
      <w:rFonts w:ascii="Arial Unicode MS" w:eastAsia="Arial Unicode MS" w:hAnsi="Times New Roman" w:cs="Arial Unicode MS"/>
      <w:color w:val="auto"/>
    </w:rPr>
  </w:style>
  <w:style w:type="paragraph" w:customStyle="1" w:styleId="SmartHeading1">
    <w:name w:val="Smart Heading 1"/>
    <w:basedOn w:val="Heading1"/>
    <w:link w:val="SmartHeading1Char"/>
    <w:autoRedefine/>
    <w:qFormat/>
    <w:rsid w:val="00AC4243"/>
    <w:pPr>
      <w:spacing w:before="480" w:after="240" w:line="259" w:lineRule="auto"/>
      <w:ind w:left="360" w:hanging="360"/>
    </w:pPr>
    <w:rPr>
      <w:rFonts w:ascii="Georgia" w:hAnsi="Georgia" w:cstheme="majorBidi"/>
      <w:i/>
      <w:color w:val="000000" w:themeColor="text1"/>
      <w:sz w:val="24"/>
      <w:szCs w:val="24"/>
    </w:rPr>
  </w:style>
  <w:style w:type="character" w:customStyle="1" w:styleId="SmartHeading1Char">
    <w:name w:val="Smart Heading 1 Char"/>
    <w:basedOn w:val="DefaultParagraphFont"/>
    <w:link w:val="SmartHeading1"/>
    <w:rsid w:val="00AC4243"/>
    <w:rPr>
      <w:rFonts w:ascii="Georgia" w:eastAsiaTheme="majorEastAsia" w:hAnsi="Georgia" w:cstheme="majorBidi"/>
      <w:b/>
      <w:bCs/>
      <w:i/>
      <w:color w:val="000000" w:themeColor="text1"/>
      <w:sz w:val="24"/>
      <w:szCs w:val="24"/>
    </w:rPr>
  </w:style>
  <w:style w:type="paragraph" w:styleId="NormalWeb">
    <w:name w:val="Normal (Web)"/>
    <w:basedOn w:val="Normal"/>
    <w:uiPriority w:val="99"/>
    <w:unhideWhenUsed/>
    <w:rsid w:val="00D962F7"/>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D962F7"/>
    <w:pPr>
      <w:spacing w:after="200" w:line="240" w:lineRule="auto"/>
    </w:pPr>
    <w:rPr>
      <w:i/>
      <w:iCs/>
      <w:color w:val="DC6900" w:themeColor="text2"/>
      <w:sz w:val="18"/>
      <w:szCs w:val="18"/>
    </w:rPr>
  </w:style>
  <w:style w:type="table" w:styleId="TableGrid">
    <w:name w:val="Table Grid"/>
    <w:aliases w:val="ED Style 4"/>
    <w:basedOn w:val="TableNormal"/>
    <w:uiPriority w:val="59"/>
    <w:rsid w:val="008B34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2">
    <w:name w:val="sub heading 2"/>
    <w:basedOn w:val="Heading1"/>
    <w:link w:val="subheading2Char"/>
    <w:qFormat/>
    <w:rsid w:val="00AC4243"/>
    <w:rPr>
      <w:b w:val="0"/>
    </w:rPr>
  </w:style>
  <w:style w:type="paragraph" w:customStyle="1" w:styleId="subheading3">
    <w:name w:val="sub heading 3"/>
    <w:basedOn w:val="subheading2"/>
    <w:link w:val="subheading3Char"/>
    <w:qFormat/>
    <w:rsid w:val="00AC4243"/>
    <w:pPr>
      <w:numPr>
        <w:ilvl w:val="2"/>
      </w:numPr>
      <w:ind w:left="270"/>
    </w:pPr>
  </w:style>
  <w:style w:type="character" w:customStyle="1" w:styleId="subheading2Char">
    <w:name w:val="sub heading 2 Char"/>
    <w:basedOn w:val="Heading1Char"/>
    <w:link w:val="subheading2"/>
    <w:rsid w:val="00AC4243"/>
    <w:rPr>
      <w:rFonts w:asciiTheme="majorHAnsi" w:eastAsiaTheme="majorEastAsia" w:hAnsiTheme="majorHAnsi" w:cstheme="minorHAnsi"/>
      <w:b w:val="0"/>
      <w:bCs/>
      <w:sz w:val="20"/>
      <w:szCs w:val="20"/>
    </w:rPr>
  </w:style>
  <w:style w:type="paragraph" w:customStyle="1" w:styleId="SmartBody">
    <w:name w:val="Smart Body"/>
    <w:basedOn w:val="BodyText"/>
    <w:link w:val="SmartBodyChar"/>
    <w:autoRedefine/>
    <w:qFormat/>
    <w:rsid w:val="00DE632B"/>
    <w:pPr>
      <w:spacing w:after="0" w:line="240" w:lineRule="auto"/>
      <w:ind w:left="90"/>
    </w:pPr>
    <w:rPr>
      <w:rFonts w:ascii="Georgia" w:hAnsi="Georgia"/>
      <w:b/>
      <w:color w:val="000000" w:themeColor="text1"/>
      <w:sz w:val="20"/>
      <w:szCs w:val="20"/>
    </w:rPr>
  </w:style>
  <w:style w:type="character" w:customStyle="1" w:styleId="subheading3Char">
    <w:name w:val="sub heading 3 Char"/>
    <w:basedOn w:val="subheading2Char"/>
    <w:link w:val="subheading3"/>
    <w:rsid w:val="00AC4243"/>
    <w:rPr>
      <w:rFonts w:asciiTheme="majorHAnsi" w:eastAsiaTheme="majorEastAsia" w:hAnsiTheme="majorHAnsi" w:cstheme="minorHAnsi"/>
      <w:b w:val="0"/>
      <w:bCs/>
      <w:sz w:val="20"/>
      <w:szCs w:val="20"/>
    </w:rPr>
  </w:style>
  <w:style w:type="character" w:customStyle="1" w:styleId="SmartBodyChar">
    <w:name w:val="Smart Body Char"/>
    <w:basedOn w:val="BodyTextChar"/>
    <w:link w:val="SmartBody"/>
    <w:rsid w:val="00DE632B"/>
    <w:rPr>
      <w:rFonts w:ascii="Georgia" w:hAnsi="Georgia"/>
      <w:b/>
      <w:color w:val="000000" w:themeColor="text1"/>
      <w:sz w:val="20"/>
      <w:szCs w:val="20"/>
    </w:rPr>
  </w:style>
  <w:style w:type="paragraph" w:styleId="BodyText">
    <w:name w:val="Body Text"/>
    <w:basedOn w:val="Normal"/>
    <w:link w:val="BodyTextChar"/>
    <w:uiPriority w:val="99"/>
    <w:semiHidden/>
    <w:unhideWhenUsed/>
    <w:rsid w:val="00BA2F46"/>
    <w:pPr>
      <w:spacing w:after="120"/>
    </w:pPr>
  </w:style>
  <w:style w:type="character" w:customStyle="1" w:styleId="BodyTextChar">
    <w:name w:val="Body Text Char"/>
    <w:basedOn w:val="DefaultParagraphFont"/>
    <w:link w:val="BodyText"/>
    <w:uiPriority w:val="99"/>
    <w:semiHidden/>
    <w:rsid w:val="00BA2F46"/>
  </w:style>
  <w:style w:type="paragraph" w:styleId="BalloonText">
    <w:name w:val="Balloon Text"/>
    <w:basedOn w:val="Normal"/>
    <w:link w:val="BalloonTextChar"/>
    <w:uiPriority w:val="99"/>
    <w:semiHidden/>
    <w:unhideWhenUsed/>
    <w:rsid w:val="00C64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4618"/>
    <w:rPr>
      <w:rFonts w:ascii="Segoe UI" w:hAnsi="Segoe UI" w:cs="Segoe UI"/>
      <w:sz w:val="18"/>
      <w:szCs w:val="18"/>
    </w:rPr>
  </w:style>
  <w:style w:type="paragraph" w:styleId="TOCHeading">
    <w:name w:val="TOC Heading"/>
    <w:basedOn w:val="Heading1"/>
    <w:next w:val="Normal"/>
    <w:uiPriority w:val="39"/>
    <w:unhideWhenUsed/>
    <w:qFormat/>
    <w:rsid w:val="003E3066"/>
    <w:pPr>
      <w:spacing w:after="0" w:line="259" w:lineRule="auto"/>
      <w:ind w:right="0"/>
      <w:jc w:val="left"/>
      <w:outlineLvl w:val="9"/>
    </w:pPr>
    <w:rPr>
      <w:rFonts w:cstheme="majorBidi"/>
      <w:b w:val="0"/>
      <w:bCs w:val="0"/>
      <w:color w:val="A44E00" w:themeColor="accent1" w:themeShade="BF"/>
      <w:sz w:val="32"/>
      <w:szCs w:val="32"/>
    </w:rPr>
  </w:style>
  <w:style w:type="paragraph" w:styleId="TOC1">
    <w:name w:val="toc 1"/>
    <w:basedOn w:val="Normal"/>
    <w:next w:val="Normal"/>
    <w:autoRedefine/>
    <w:uiPriority w:val="39"/>
    <w:unhideWhenUsed/>
    <w:rsid w:val="00A051F9"/>
    <w:pPr>
      <w:tabs>
        <w:tab w:val="left" w:pos="440"/>
        <w:tab w:val="right" w:leader="dot" w:pos="9350"/>
      </w:tabs>
      <w:spacing w:before="240" w:after="120"/>
    </w:pPr>
    <w:rPr>
      <w:rFonts w:cstheme="minorHAnsi"/>
      <w:b/>
      <w:bCs/>
      <w:sz w:val="20"/>
      <w:szCs w:val="20"/>
    </w:rPr>
  </w:style>
  <w:style w:type="paragraph" w:styleId="TOC3">
    <w:name w:val="toc 3"/>
    <w:basedOn w:val="Normal"/>
    <w:next w:val="Normal"/>
    <w:autoRedefine/>
    <w:uiPriority w:val="39"/>
    <w:unhideWhenUsed/>
    <w:rsid w:val="003E3066"/>
    <w:pPr>
      <w:spacing w:after="0"/>
      <w:ind w:left="440"/>
    </w:pPr>
    <w:rPr>
      <w:rFonts w:cstheme="minorHAnsi"/>
      <w:sz w:val="20"/>
      <w:szCs w:val="20"/>
    </w:rPr>
  </w:style>
  <w:style w:type="paragraph" w:styleId="TOC2">
    <w:name w:val="toc 2"/>
    <w:basedOn w:val="Normal"/>
    <w:next w:val="Normal"/>
    <w:autoRedefine/>
    <w:uiPriority w:val="39"/>
    <w:unhideWhenUsed/>
    <w:rsid w:val="003E3066"/>
    <w:pPr>
      <w:spacing w:before="120" w:after="0"/>
      <w:ind w:left="220"/>
    </w:pPr>
    <w:rPr>
      <w:rFonts w:cstheme="minorHAnsi"/>
      <w:i/>
      <w:iCs/>
      <w:sz w:val="20"/>
      <w:szCs w:val="20"/>
    </w:rPr>
  </w:style>
  <w:style w:type="character" w:styleId="Hyperlink">
    <w:name w:val="Hyperlink"/>
    <w:basedOn w:val="DefaultParagraphFont"/>
    <w:uiPriority w:val="99"/>
    <w:unhideWhenUsed/>
    <w:rsid w:val="003E3066"/>
    <w:rPr>
      <w:color w:val="0000FF" w:themeColor="hyperlink"/>
      <w:u w:val="single"/>
    </w:rPr>
  </w:style>
  <w:style w:type="character" w:customStyle="1" w:styleId="Heading4Char">
    <w:name w:val="Heading 4 Char"/>
    <w:basedOn w:val="DefaultParagraphFont"/>
    <w:link w:val="Heading4"/>
    <w:uiPriority w:val="9"/>
    <w:semiHidden/>
    <w:rsid w:val="00682E27"/>
    <w:rPr>
      <w:rFonts w:asciiTheme="majorHAnsi" w:eastAsiaTheme="majorEastAsia" w:hAnsiTheme="majorHAnsi" w:cstheme="majorBidi"/>
      <w:i/>
      <w:iCs/>
      <w:color w:val="A44E00" w:themeColor="accent1" w:themeShade="BF"/>
    </w:rPr>
  </w:style>
  <w:style w:type="character" w:customStyle="1" w:styleId="Heading5Char">
    <w:name w:val="Heading 5 Char"/>
    <w:basedOn w:val="DefaultParagraphFont"/>
    <w:link w:val="Heading5"/>
    <w:uiPriority w:val="9"/>
    <w:semiHidden/>
    <w:rsid w:val="00682E27"/>
    <w:rPr>
      <w:rFonts w:asciiTheme="majorHAnsi" w:eastAsiaTheme="majorEastAsia" w:hAnsiTheme="majorHAnsi" w:cstheme="majorBidi"/>
      <w:color w:val="A44E00" w:themeColor="accent1" w:themeShade="BF"/>
    </w:rPr>
  </w:style>
  <w:style w:type="character" w:customStyle="1" w:styleId="Heading6Char">
    <w:name w:val="Heading 6 Char"/>
    <w:basedOn w:val="DefaultParagraphFont"/>
    <w:link w:val="Heading6"/>
    <w:uiPriority w:val="9"/>
    <w:semiHidden/>
    <w:rsid w:val="00682E27"/>
    <w:rPr>
      <w:rFonts w:asciiTheme="majorHAnsi" w:eastAsiaTheme="majorEastAsia" w:hAnsiTheme="majorHAnsi" w:cstheme="majorBidi"/>
      <w:color w:val="6D3300" w:themeColor="accent1" w:themeShade="7F"/>
    </w:rPr>
  </w:style>
  <w:style w:type="character" w:customStyle="1" w:styleId="Heading7Char">
    <w:name w:val="Heading 7 Char"/>
    <w:basedOn w:val="DefaultParagraphFont"/>
    <w:link w:val="Heading7"/>
    <w:uiPriority w:val="9"/>
    <w:semiHidden/>
    <w:rsid w:val="00682E27"/>
    <w:rPr>
      <w:rFonts w:asciiTheme="majorHAnsi" w:eastAsiaTheme="majorEastAsia" w:hAnsiTheme="majorHAnsi" w:cstheme="majorBidi"/>
      <w:i/>
      <w:iCs/>
      <w:color w:val="6D3300" w:themeColor="accent1" w:themeShade="7F"/>
    </w:rPr>
  </w:style>
  <w:style w:type="character" w:customStyle="1" w:styleId="Heading8Char">
    <w:name w:val="Heading 8 Char"/>
    <w:basedOn w:val="DefaultParagraphFont"/>
    <w:link w:val="Heading8"/>
    <w:uiPriority w:val="9"/>
    <w:semiHidden/>
    <w:rsid w:val="00682E2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82E27"/>
    <w:rPr>
      <w:rFonts w:asciiTheme="majorHAnsi" w:eastAsiaTheme="majorEastAsia" w:hAnsiTheme="majorHAnsi" w:cstheme="majorBidi"/>
      <w:i/>
      <w:iCs/>
      <w:color w:val="272727" w:themeColor="text1" w:themeTint="D8"/>
      <w:sz w:val="21"/>
      <w:szCs w:val="21"/>
    </w:rPr>
  </w:style>
  <w:style w:type="paragraph" w:customStyle="1" w:styleId="head1">
    <w:name w:val="head 1"/>
    <w:basedOn w:val="Heading1"/>
    <w:link w:val="head1Char"/>
    <w:qFormat/>
    <w:rsid w:val="009015BE"/>
    <w:pPr>
      <w:ind w:right="0"/>
    </w:pPr>
    <w:rPr>
      <w:rFonts w:ascii="Georgia" w:hAnsi="Georgia"/>
      <w:sz w:val="22"/>
      <w:szCs w:val="22"/>
    </w:rPr>
  </w:style>
  <w:style w:type="paragraph" w:customStyle="1" w:styleId="head2">
    <w:name w:val="head 2"/>
    <w:basedOn w:val="head1"/>
    <w:link w:val="head2Char"/>
    <w:uiPriority w:val="99"/>
    <w:qFormat/>
    <w:rsid w:val="009015BE"/>
    <w:pPr>
      <w:ind w:left="792" w:hanging="432"/>
    </w:pPr>
  </w:style>
  <w:style w:type="character" w:customStyle="1" w:styleId="head1Char">
    <w:name w:val="head 1 Char"/>
    <w:basedOn w:val="Heading1Char"/>
    <w:link w:val="head1"/>
    <w:rsid w:val="009015BE"/>
    <w:rPr>
      <w:rFonts w:ascii="Georgia" w:eastAsiaTheme="majorEastAsia" w:hAnsi="Georgia" w:cstheme="minorHAnsi"/>
      <w:b/>
      <w:bCs/>
      <w:sz w:val="20"/>
      <w:szCs w:val="20"/>
    </w:rPr>
  </w:style>
  <w:style w:type="character" w:customStyle="1" w:styleId="head2Char">
    <w:name w:val="head 2 Char"/>
    <w:basedOn w:val="head1Char"/>
    <w:link w:val="head2"/>
    <w:uiPriority w:val="99"/>
    <w:rsid w:val="009015BE"/>
    <w:rPr>
      <w:rFonts w:ascii="Georgia" w:eastAsiaTheme="majorEastAsia" w:hAnsi="Georgia" w:cstheme="minorHAnsi"/>
      <w:b/>
      <w:bCs/>
      <w:sz w:val="20"/>
      <w:szCs w:val="20"/>
    </w:rPr>
  </w:style>
  <w:style w:type="paragraph" w:styleId="Header">
    <w:name w:val="header"/>
    <w:basedOn w:val="Normal"/>
    <w:link w:val="HeaderChar"/>
    <w:uiPriority w:val="99"/>
    <w:unhideWhenUsed/>
    <w:rsid w:val="00625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5F5D"/>
  </w:style>
  <w:style w:type="paragraph" w:styleId="Footer">
    <w:name w:val="footer"/>
    <w:basedOn w:val="Normal"/>
    <w:link w:val="FooterChar"/>
    <w:uiPriority w:val="99"/>
    <w:unhideWhenUsed/>
    <w:rsid w:val="00625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5F5D"/>
  </w:style>
  <w:style w:type="paragraph" w:customStyle="1" w:styleId="Style3">
    <w:name w:val="Style3"/>
    <w:basedOn w:val="Normal"/>
    <w:link w:val="Style3Char"/>
    <w:autoRedefine/>
    <w:qFormat/>
    <w:rsid w:val="00F12881"/>
    <w:pPr>
      <w:spacing w:after="0" w:line="276" w:lineRule="auto"/>
      <w:jc w:val="both"/>
      <w:outlineLvl w:val="2"/>
    </w:pPr>
    <w:rPr>
      <w:rFonts w:ascii="Georgia" w:hAnsi="Georgia" w:cs="Times New Roman"/>
      <w:b/>
      <w:bCs/>
      <w:szCs w:val="24"/>
      <w:lang w:val="en-GB"/>
    </w:rPr>
  </w:style>
  <w:style w:type="character" w:customStyle="1" w:styleId="Style3Char">
    <w:name w:val="Style3 Char"/>
    <w:basedOn w:val="DefaultParagraphFont"/>
    <w:link w:val="Style3"/>
    <w:rsid w:val="00F12881"/>
    <w:rPr>
      <w:rFonts w:ascii="Georgia" w:hAnsi="Georgia" w:cs="Times New Roman"/>
      <w:b/>
      <w:bCs/>
      <w:szCs w:val="24"/>
      <w:lang w:val="en-GB"/>
    </w:rPr>
  </w:style>
  <w:style w:type="character" w:styleId="CommentReference">
    <w:name w:val="annotation reference"/>
    <w:basedOn w:val="DefaultParagraphFont"/>
    <w:uiPriority w:val="99"/>
    <w:semiHidden/>
    <w:unhideWhenUsed/>
    <w:rsid w:val="006C25AC"/>
    <w:rPr>
      <w:sz w:val="16"/>
      <w:szCs w:val="16"/>
    </w:rPr>
  </w:style>
  <w:style w:type="paragraph" w:styleId="CommentText">
    <w:name w:val="annotation text"/>
    <w:basedOn w:val="Normal"/>
    <w:link w:val="CommentTextChar"/>
    <w:uiPriority w:val="99"/>
    <w:semiHidden/>
    <w:unhideWhenUsed/>
    <w:rsid w:val="006C25AC"/>
    <w:pPr>
      <w:spacing w:line="240" w:lineRule="auto"/>
    </w:pPr>
    <w:rPr>
      <w:sz w:val="20"/>
      <w:szCs w:val="20"/>
    </w:rPr>
  </w:style>
  <w:style w:type="character" w:customStyle="1" w:styleId="CommentTextChar">
    <w:name w:val="Comment Text Char"/>
    <w:basedOn w:val="DefaultParagraphFont"/>
    <w:link w:val="CommentText"/>
    <w:uiPriority w:val="99"/>
    <w:semiHidden/>
    <w:rsid w:val="006C25AC"/>
    <w:rPr>
      <w:sz w:val="20"/>
      <w:szCs w:val="20"/>
    </w:rPr>
  </w:style>
  <w:style w:type="paragraph" w:styleId="CommentSubject">
    <w:name w:val="annotation subject"/>
    <w:basedOn w:val="CommentText"/>
    <w:next w:val="CommentText"/>
    <w:link w:val="CommentSubjectChar"/>
    <w:uiPriority w:val="99"/>
    <w:semiHidden/>
    <w:unhideWhenUsed/>
    <w:rsid w:val="006C25AC"/>
    <w:rPr>
      <w:b/>
      <w:bCs/>
    </w:rPr>
  </w:style>
  <w:style w:type="character" w:customStyle="1" w:styleId="CommentSubjectChar">
    <w:name w:val="Comment Subject Char"/>
    <w:basedOn w:val="CommentTextChar"/>
    <w:link w:val="CommentSubject"/>
    <w:uiPriority w:val="99"/>
    <w:semiHidden/>
    <w:rsid w:val="006C25AC"/>
    <w:rPr>
      <w:b/>
      <w:bCs/>
      <w:sz w:val="20"/>
      <w:szCs w:val="20"/>
    </w:rPr>
  </w:style>
  <w:style w:type="paragraph" w:customStyle="1" w:styleId="tableofcontents">
    <w:name w:val="table of contents"/>
    <w:basedOn w:val="NoSpacing"/>
    <w:link w:val="tableofcontentsChar"/>
    <w:autoRedefine/>
    <w:qFormat/>
    <w:rsid w:val="00A75950"/>
    <w:pPr>
      <w:keepNext/>
      <w:keepLines/>
      <w:widowControl w:val="0"/>
      <w:jc w:val="center"/>
    </w:pPr>
    <w:rPr>
      <w:rFonts w:ascii="Georgia" w:hAnsi="Georgia"/>
      <w:b/>
      <w:sz w:val="20"/>
      <w:szCs w:val="20"/>
    </w:rPr>
  </w:style>
  <w:style w:type="character" w:customStyle="1" w:styleId="tableofcontentsChar">
    <w:name w:val="table of contents Char"/>
    <w:basedOn w:val="DefaultParagraphFont"/>
    <w:link w:val="tableofcontents"/>
    <w:rsid w:val="00A75950"/>
    <w:rPr>
      <w:rFonts w:ascii="Georgia" w:hAnsi="Georgia"/>
      <w:b/>
      <w:sz w:val="20"/>
      <w:szCs w:val="20"/>
    </w:rPr>
  </w:style>
  <w:style w:type="paragraph" w:styleId="NoSpacing">
    <w:name w:val="No Spacing"/>
    <w:uiPriority w:val="1"/>
    <w:qFormat/>
    <w:rsid w:val="00E3047C"/>
    <w:pPr>
      <w:spacing w:after="0" w:line="240" w:lineRule="auto"/>
    </w:pPr>
  </w:style>
  <w:style w:type="paragraph" w:customStyle="1" w:styleId="Style">
    <w:name w:val="Style"/>
    <w:rsid w:val="0067602A"/>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ListParagraphChar">
    <w:name w:val="List Paragraph Char"/>
    <w:aliases w:val="Report Para Char,WinDForce-Letter Char"/>
    <w:basedOn w:val="DefaultParagraphFont"/>
    <w:link w:val="ListParagraph"/>
    <w:uiPriority w:val="34"/>
    <w:rsid w:val="00E8683C"/>
    <w:rPr>
      <w:rFonts w:ascii="Arial" w:eastAsia="Times New Roman" w:hAnsi="Arial" w:cs="Times New Roman"/>
      <w:szCs w:val="20"/>
      <w:lang w:val="en-GB"/>
    </w:rPr>
  </w:style>
  <w:style w:type="table" w:customStyle="1" w:styleId="TableGrid2">
    <w:name w:val="Table Grid2"/>
    <w:basedOn w:val="TableNormal"/>
    <w:next w:val="TableGrid"/>
    <w:uiPriority w:val="39"/>
    <w:rsid w:val="00E868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E1EF1"/>
    <w:pPr>
      <w:spacing w:after="0" w:line="240" w:lineRule="auto"/>
    </w:pPr>
  </w:style>
  <w:style w:type="table" w:customStyle="1" w:styleId="GridTable41">
    <w:name w:val="Grid Table 41"/>
    <w:basedOn w:val="TableNormal"/>
    <w:uiPriority w:val="49"/>
    <w:rsid w:val="00A41A4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4">
    <w:name w:val="toc 4"/>
    <w:basedOn w:val="Normal"/>
    <w:next w:val="Normal"/>
    <w:autoRedefine/>
    <w:uiPriority w:val="39"/>
    <w:unhideWhenUsed/>
    <w:rsid w:val="00A051F9"/>
    <w:pPr>
      <w:spacing w:after="0"/>
      <w:ind w:left="660"/>
    </w:pPr>
    <w:rPr>
      <w:rFonts w:cstheme="minorHAnsi"/>
      <w:sz w:val="20"/>
      <w:szCs w:val="20"/>
    </w:rPr>
  </w:style>
  <w:style w:type="paragraph" w:styleId="TOC5">
    <w:name w:val="toc 5"/>
    <w:basedOn w:val="Normal"/>
    <w:next w:val="Normal"/>
    <w:autoRedefine/>
    <w:uiPriority w:val="39"/>
    <w:unhideWhenUsed/>
    <w:rsid w:val="00A051F9"/>
    <w:pPr>
      <w:spacing w:after="0"/>
      <w:ind w:left="880"/>
    </w:pPr>
    <w:rPr>
      <w:rFonts w:cstheme="minorHAnsi"/>
      <w:sz w:val="20"/>
      <w:szCs w:val="20"/>
    </w:rPr>
  </w:style>
  <w:style w:type="paragraph" w:styleId="TOC6">
    <w:name w:val="toc 6"/>
    <w:basedOn w:val="Normal"/>
    <w:next w:val="Normal"/>
    <w:autoRedefine/>
    <w:uiPriority w:val="39"/>
    <w:unhideWhenUsed/>
    <w:rsid w:val="00A051F9"/>
    <w:pPr>
      <w:spacing w:after="0"/>
      <w:ind w:left="1100"/>
    </w:pPr>
    <w:rPr>
      <w:rFonts w:cstheme="minorHAnsi"/>
      <w:sz w:val="20"/>
      <w:szCs w:val="20"/>
    </w:rPr>
  </w:style>
  <w:style w:type="paragraph" w:styleId="TOC7">
    <w:name w:val="toc 7"/>
    <w:basedOn w:val="Normal"/>
    <w:next w:val="Normal"/>
    <w:autoRedefine/>
    <w:uiPriority w:val="39"/>
    <w:unhideWhenUsed/>
    <w:rsid w:val="00A051F9"/>
    <w:pPr>
      <w:spacing w:after="0"/>
      <w:ind w:left="1320"/>
    </w:pPr>
    <w:rPr>
      <w:rFonts w:cstheme="minorHAnsi"/>
      <w:sz w:val="20"/>
      <w:szCs w:val="20"/>
    </w:rPr>
  </w:style>
  <w:style w:type="paragraph" w:styleId="TOC8">
    <w:name w:val="toc 8"/>
    <w:basedOn w:val="Normal"/>
    <w:next w:val="Normal"/>
    <w:autoRedefine/>
    <w:uiPriority w:val="39"/>
    <w:unhideWhenUsed/>
    <w:rsid w:val="00A051F9"/>
    <w:pPr>
      <w:spacing w:after="0"/>
      <w:ind w:left="1540"/>
    </w:pPr>
    <w:rPr>
      <w:rFonts w:cstheme="minorHAnsi"/>
      <w:sz w:val="20"/>
      <w:szCs w:val="20"/>
    </w:rPr>
  </w:style>
  <w:style w:type="paragraph" w:styleId="TOC9">
    <w:name w:val="toc 9"/>
    <w:basedOn w:val="Normal"/>
    <w:next w:val="Normal"/>
    <w:autoRedefine/>
    <w:uiPriority w:val="39"/>
    <w:unhideWhenUsed/>
    <w:rsid w:val="00A051F9"/>
    <w:pPr>
      <w:spacing w:after="0"/>
      <w:ind w:left="1760"/>
    </w:pPr>
    <w:rPr>
      <w:rFonts w:cstheme="minorHAnsi"/>
      <w:sz w:val="20"/>
      <w:szCs w:val="20"/>
    </w:rPr>
  </w:style>
  <w:style w:type="table" w:customStyle="1" w:styleId="TableGrid1">
    <w:name w:val="Table Grid1"/>
    <w:basedOn w:val="TableNormal"/>
    <w:next w:val="TableGrid"/>
    <w:uiPriority w:val="59"/>
    <w:rsid w:val="00C16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link w:val="Style4Char"/>
    <w:qFormat/>
    <w:rsid w:val="00C16192"/>
    <w:pPr>
      <w:numPr>
        <w:ilvl w:val="1"/>
        <w:numId w:val="26"/>
      </w:numPr>
      <w:spacing w:after="240" w:line="360" w:lineRule="auto"/>
      <w:jc w:val="both"/>
      <w:outlineLvl w:val="1"/>
    </w:pPr>
    <w:rPr>
      <w:rFonts w:ascii="Georgia" w:hAnsi="Georgia"/>
      <w:b/>
      <w:sz w:val="24"/>
      <w:szCs w:val="36"/>
    </w:rPr>
  </w:style>
  <w:style w:type="character" w:customStyle="1" w:styleId="Style4Char">
    <w:name w:val="Style4 Char"/>
    <w:basedOn w:val="DefaultParagraphFont"/>
    <w:link w:val="Style4"/>
    <w:rsid w:val="00C16192"/>
    <w:rPr>
      <w:rFonts w:ascii="Georgia" w:hAnsi="Georgia"/>
      <w:b/>
      <w:sz w:val="24"/>
      <w:szCs w:val="36"/>
    </w:rPr>
  </w:style>
  <w:style w:type="character" w:customStyle="1" w:styleId="UnresolvedMention1">
    <w:name w:val="Unresolved Mention1"/>
    <w:basedOn w:val="DefaultParagraphFont"/>
    <w:uiPriority w:val="99"/>
    <w:semiHidden/>
    <w:unhideWhenUsed/>
    <w:rsid w:val="007617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0191">
      <w:bodyDiv w:val="1"/>
      <w:marLeft w:val="0"/>
      <w:marRight w:val="0"/>
      <w:marTop w:val="0"/>
      <w:marBottom w:val="0"/>
      <w:divBdr>
        <w:top w:val="none" w:sz="0" w:space="0" w:color="auto"/>
        <w:left w:val="none" w:sz="0" w:space="0" w:color="auto"/>
        <w:bottom w:val="none" w:sz="0" w:space="0" w:color="auto"/>
        <w:right w:val="none" w:sz="0" w:space="0" w:color="auto"/>
      </w:divBdr>
    </w:div>
    <w:div w:id="65543577">
      <w:bodyDiv w:val="1"/>
      <w:marLeft w:val="0"/>
      <w:marRight w:val="0"/>
      <w:marTop w:val="0"/>
      <w:marBottom w:val="0"/>
      <w:divBdr>
        <w:top w:val="none" w:sz="0" w:space="0" w:color="auto"/>
        <w:left w:val="none" w:sz="0" w:space="0" w:color="auto"/>
        <w:bottom w:val="none" w:sz="0" w:space="0" w:color="auto"/>
        <w:right w:val="none" w:sz="0" w:space="0" w:color="auto"/>
      </w:divBdr>
    </w:div>
    <w:div w:id="208146901">
      <w:bodyDiv w:val="1"/>
      <w:marLeft w:val="0"/>
      <w:marRight w:val="0"/>
      <w:marTop w:val="0"/>
      <w:marBottom w:val="0"/>
      <w:divBdr>
        <w:top w:val="none" w:sz="0" w:space="0" w:color="auto"/>
        <w:left w:val="none" w:sz="0" w:space="0" w:color="auto"/>
        <w:bottom w:val="none" w:sz="0" w:space="0" w:color="auto"/>
        <w:right w:val="none" w:sz="0" w:space="0" w:color="auto"/>
      </w:divBdr>
    </w:div>
    <w:div w:id="254246348">
      <w:bodyDiv w:val="1"/>
      <w:marLeft w:val="0"/>
      <w:marRight w:val="0"/>
      <w:marTop w:val="0"/>
      <w:marBottom w:val="0"/>
      <w:divBdr>
        <w:top w:val="none" w:sz="0" w:space="0" w:color="auto"/>
        <w:left w:val="none" w:sz="0" w:space="0" w:color="auto"/>
        <w:bottom w:val="none" w:sz="0" w:space="0" w:color="auto"/>
        <w:right w:val="none" w:sz="0" w:space="0" w:color="auto"/>
      </w:divBdr>
    </w:div>
    <w:div w:id="287128394">
      <w:bodyDiv w:val="1"/>
      <w:marLeft w:val="0"/>
      <w:marRight w:val="0"/>
      <w:marTop w:val="0"/>
      <w:marBottom w:val="0"/>
      <w:divBdr>
        <w:top w:val="none" w:sz="0" w:space="0" w:color="auto"/>
        <w:left w:val="none" w:sz="0" w:space="0" w:color="auto"/>
        <w:bottom w:val="none" w:sz="0" w:space="0" w:color="auto"/>
        <w:right w:val="none" w:sz="0" w:space="0" w:color="auto"/>
      </w:divBdr>
    </w:div>
    <w:div w:id="354575057">
      <w:bodyDiv w:val="1"/>
      <w:marLeft w:val="0"/>
      <w:marRight w:val="0"/>
      <w:marTop w:val="0"/>
      <w:marBottom w:val="0"/>
      <w:divBdr>
        <w:top w:val="none" w:sz="0" w:space="0" w:color="auto"/>
        <w:left w:val="none" w:sz="0" w:space="0" w:color="auto"/>
        <w:bottom w:val="none" w:sz="0" w:space="0" w:color="auto"/>
        <w:right w:val="none" w:sz="0" w:space="0" w:color="auto"/>
      </w:divBdr>
    </w:div>
    <w:div w:id="671876789">
      <w:bodyDiv w:val="1"/>
      <w:marLeft w:val="0"/>
      <w:marRight w:val="0"/>
      <w:marTop w:val="0"/>
      <w:marBottom w:val="0"/>
      <w:divBdr>
        <w:top w:val="none" w:sz="0" w:space="0" w:color="auto"/>
        <w:left w:val="none" w:sz="0" w:space="0" w:color="auto"/>
        <w:bottom w:val="none" w:sz="0" w:space="0" w:color="auto"/>
        <w:right w:val="none" w:sz="0" w:space="0" w:color="auto"/>
      </w:divBdr>
    </w:div>
    <w:div w:id="703482823">
      <w:bodyDiv w:val="1"/>
      <w:marLeft w:val="0"/>
      <w:marRight w:val="0"/>
      <w:marTop w:val="0"/>
      <w:marBottom w:val="0"/>
      <w:divBdr>
        <w:top w:val="none" w:sz="0" w:space="0" w:color="auto"/>
        <w:left w:val="none" w:sz="0" w:space="0" w:color="auto"/>
        <w:bottom w:val="none" w:sz="0" w:space="0" w:color="auto"/>
        <w:right w:val="none" w:sz="0" w:space="0" w:color="auto"/>
      </w:divBdr>
    </w:div>
    <w:div w:id="715935322">
      <w:bodyDiv w:val="1"/>
      <w:marLeft w:val="0"/>
      <w:marRight w:val="0"/>
      <w:marTop w:val="0"/>
      <w:marBottom w:val="0"/>
      <w:divBdr>
        <w:top w:val="none" w:sz="0" w:space="0" w:color="auto"/>
        <w:left w:val="none" w:sz="0" w:space="0" w:color="auto"/>
        <w:bottom w:val="none" w:sz="0" w:space="0" w:color="auto"/>
        <w:right w:val="none" w:sz="0" w:space="0" w:color="auto"/>
      </w:divBdr>
    </w:div>
    <w:div w:id="809782330">
      <w:bodyDiv w:val="1"/>
      <w:marLeft w:val="0"/>
      <w:marRight w:val="0"/>
      <w:marTop w:val="0"/>
      <w:marBottom w:val="0"/>
      <w:divBdr>
        <w:top w:val="none" w:sz="0" w:space="0" w:color="auto"/>
        <w:left w:val="none" w:sz="0" w:space="0" w:color="auto"/>
        <w:bottom w:val="none" w:sz="0" w:space="0" w:color="auto"/>
        <w:right w:val="none" w:sz="0" w:space="0" w:color="auto"/>
      </w:divBdr>
    </w:div>
    <w:div w:id="842746240">
      <w:bodyDiv w:val="1"/>
      <w:marLeft w:val="0"/>
      <w:marRight w:val="0"/>
      <w:marTop w:val="0"/>
      <w:marBottom w:val="0"/>
      <w:divBdr>
        <w:top w:val="none" w:sz="0" w:space="0" w:color="auto"/>
        <w:left w:val="none" w:sz="0" w:space="0" w:color="auto"/>
        <w:bottom w:val="none" w:sz="0" w:space="0" w:color="auto"/>
        <w:right w:val="none" w:sz="0" w:space="0" w:color="auto"/>
      </w:divBdr>
    </w:div>
    <w:div w:id="880823344">
      <w:bodyDiv w:val="1"/>
      <w:marLeft w:val="0"/>
      <w:marRight w:val="0"/>
      <w:marTop w:val="0"/>
      <w:marBottom w:val="0"/>
      <w:divBdr>
        <w:top w:val="none" w:sz="0" w:space="0" w:color="auto"/>
        <w:left w:val="none" w:sz="0" w:space="0" w:color="auto"/>
        <w:bottom w:val="none" w:sz="0" w:space="0" w:color="auto"/>
        <w:right w:val="none" w:sz="0" w:space="0" w:color="auto"/>
      </w:divBdr>
    </w:div>
    <w:div w:id="891962838">
      <w:bodyDiv w:val="1"/>
      <w:marLeft w:val="0"/>
      <w:marRight w:val="0"/>
      <w:marTop w:val="0"/>
      <w:marBottom w:val="0"/>
      <w:divBdr>
        <w:top w:val="none" w:sz="0" w:space="0" w:color="auto"/>
        <w:left w:val="none" w:sz="0" w:space="0" w:color="auto"/>
        <w:bottom w:val="none" w:sz="0" w:space="0" w:color="auto"/>
        <w:right w:val="none" w:sz="0" w:space="0" w:color="auto"/>
      </w:divBdr>
    </w:div>
    <w:div w:id="1020815292">
      <w:bodyDiv w:val="1"/>
      <w:marLeft w:val="0"/>
      <w:marRight w:val="0"/>
      <w:marTop w:val="0"/>
      <w:marBottom w:val="0"/>
      <w:divBdr>
        <w:top w:val="none" w:sz="0" w:space="0" w:color="auto"/>
        <w:left w:val="none" w:sz="0" w:space="0" w:color="auto"/>
        <w:bottom w:val="none" w:sz="0" w:space="0" w:color="auto"/>
        <w:right w:val="none" w:sz="0" w:space="0" w:color="auto"/>
      </w:divBdr>
    </w:div>
    <w:div w:id="1069692181">
      <w:bodyDiv w:val="1"/>
      <w:marLeft w:val="0"/>
      <w:marRight w:val="0"/>
      <w:marTop w:val="0"/>
      <w:marBottom w:val="0"/>
      <w:divBdr>
        <w:top w:val="none" w:sz="0" w:space="0" w:color="auto"/>
        <w:left w:val="none" w:sz="0" w:space="0" w:color="auto"/>
        <w:bottom w:val="none" w:sz="0" w:space="0" w:color="auto"/>
        <w:right w:val="none" w:sz="0" w:space="0" w:color="auto"/>
      </w:divBdr>
    </w:div>
    <w:div w:id="1226187573">
      <w:bodyDiv w:val="1"/>
      <w:marLeft w:val="0"/>
      <w:marRight w:val="0"/>
      <w:marTop w:val="0"/>
      <w:marBottom w:val="0"/>
      <w:divBdr>
        <w:top w:val="none" w:sz="0" w:space="0" w:color="auto"/>
        <w:left w:val="none" w:sz="0" w:space="0" w:color="auto"/>
        <w:bottom w:val="none" w:sz="0" w:space="0" w:color="auto"/>
        <w:right w:val="none" w:sz="0" w:space="0" w:color="auto"/>
      </w:divBdr>
    </w:div>
    <w:div w:id="1260791562">
      <w:bodyDiv w:val="1"/>
      <w:marLeft w:val="0"/>
      <w:marRight w:val="0"/>
      <w:marTop w:val="0"/>
      <w:marBottom w:val="0"/>
      <w:divBdr>
        <w:top w:val="none" w:sz="0" w:space="0" w:color="auto"/>
        <w:left w:val="none" w:sz="0" w:space="0" w:color="auto"/>
        <w:bottom w:val="none" w:sz="0" w:space="0" w:color="auto"/>
        <w:right w:val="none" w:sz="0" w:space="0" w:color="auto"/>
      </w:divBdr>
    </w:div>
    <w:div w:id="1300722033">
      <w:bodyDiv w:val="1"/>
      <w:marLeft w:val="0"/>
      <w:marRight w:val="0"/>
      <w:marTop w:val="0"/>
      <w:marBottom w:val="0"/>
      <w:divBdr>
        <w:top w:val="none" w:sz="0" w:space="0" w:color="auto"/>
        <w:left w:val="none" w:sz="0" w:space="0" w:color="auto"/>
        <w:bottom w:val="none" w:sz="0" w:space="0" w:color="auto"/>
        <w:right w:val="none" w:sz="0" w:space="0" w:color="auto"/>
      </w:divBdr>
    </w:div>
    <w:div w:id="1417675014">
      <w:bodyDiv w:val="1"/>
      <w:marLeft w:val="0"/>
      <w:marRight w:val="0"/>
      <w:marTop w:val="0"/>
      <w:marBottom w:val="0"/>
      <w:divBdr>
        <w:top w:val="none" w:sz="0" w:space="0" w:color="auto"/>
        <w:left w:val="none" w:sz="0" w:space="0" w:color="auto"/>
        <w:bottom w:val="none" w:sz="0" w:space="0" w:color="auto"/>
        <w:right w:val="none" w:sz="0" w:space="0" w:color="auto"/>
      </w:divBdr>
    </w:div>
    <w:div w:id="1457331322">
      <w:bodyDiv w:val="1"/>
      <w:marLeft w:val="0"/>
      <w:marRight w:val="0"/>
      <w:marTop w:val="0"/>
      <w:marBottom w:val="0"/>
      <w:divBdr>
        <w:top w:val="none" w:sz="0" w:space="0" w:color="auto"/>
        <w:left w:val="none" w:sz="0" w:space="0" w:color="auto"/>
        <w:bottom w:val="none" w:sz="0" w:space="0" w:color="auto"/>
        <w:right w:val="none" w:sz="0" w:space="0" w:color="auto"/>
      </w:divBdr>
    </w:div>
    <w:div w:id="1480851921">
      <w:bodyDiv w:val="1"/>
      <w:marLeft w:val="0"/>
      <w:marRight w:val="0"/>
      <w:marTop w:val="0"/>
      <w:marBottom w:val="0"/>
      <w:divBdr>
        <w:top w:val="none" w:sz="0" w:space="0" w:color="auto"/>
        <w:left w:val="none" w:sz="0" w:space="0" w:color="auto"/>
        <w:bottom w:val="none" w:sz="0" w:space="0" w:color="auto"/>
        <w:right w:val="none" w:sz="0" w:space="0" w:color="auto"/>
      </w:divBdr>
    </w:div>
    <w:div w:id="1600484329">
      <w:bodyDiv w:val="1"/>
      <w:marLeft w:val="0"/>
      <w:marRight w:val="0"/>
      <w:marTop w:val="0"/>
      <w:marBottom w:val="0"/>
      <w:divBdr>
        <w:top w:val="none" w:sz="0" w:space="0" w:color="auto"/>
        <w:left w:val="none" w:sz="0" w:space="0" w:color="auto"/>
        <w:bottom w:val="none" w:sz="0" w:space="0" w:color="auto"/>
        <w:right w:val="none" w:sz="0" w:space="0" w:color="auto"/>
      </w:divBdr>
    </w:div>
    <w:div w:id="1626620645">
      <w:bodyDiv w:val="1"/>
      <w:marLeft w:val="0"/>
      <w:marRight w:val="0"/>
      <w:marTop w:val="0"/>
      <w:marBottom w:val="0"/>
      <w:divBdr>
        <w:top w:val="none" w:sz="0" w:space="0" w:color="auto"/>
        <w:left w:val="none" w:sz="0" w:space="0" w:color="auto"/>
        <w:bottom w:val="none" w:sz="0" w:space="0" w:color="auto"/>
        <w:right w:val="none" w:sz="0" w:space="0" w:color="auto"/>
      </w:divBdr>
    </w:div>
    <w:div w:id="1644043824">
      <w:bodyDiv w:val="1"/>
      <w:marLeft w:val="0"/>
      <w:marRight w:val="0"/>
      <w:marTop w:val="0"/>
      <w:marBottom w:val="0"/>
      <w:divBdr>
        <w:top w:val="none" w:sz="0" w:space="0" w:color="auto"/>
        <w:left w:val="none" w:sz="0" w:space="0" w:color="auto"/>
        <w:bottom w:val="none" w:sz="0" w:space="0" w:color="auto"/>
        <w:right w:val="none" w:sz="0" w:space="0" w:color="auto"/>
      </w:divBdr>
    </w:div>
    <w:div w:id="1664815706">
      <w:bodyDiv w:val="1"/>
      <w:marLeft w:val="0"/>
      <w:marRight w:val="0"/>
      <w:marTop w:val="0"/>
      <w:marBottom w:val="0"/>
      <w:divBdr>
        <w:top w:val="none" w:sz="0" w:space="0" w:color="auto"/>
        <w:left w:val="none" w:sz="0" w:space="0" w:color="auto"/>
        <w:bottom w:val="none" w:sz="0" w:space="0" w:color="auto"/>
        <w:right w:val="none" w:sz="0" w:space="0" w:color="auto"/>
      </w:divBdr>
    </w:div>
    <w:div w:id="1674601286">
      <w:bodyDiv w:val="1"/>
      <w:marLeft w:val="0"/>
      <w:marRight w:val="0"/>
      <w:marTop w:val="0"/>
      <w:marBottom w:val="0"/>
      <w:divBdr>
        <w:top w:val="none" w:sz="0" w:space="0" w:color="auto"/>
        <w:left w:val="none" w:sz="0" w:space="0" w:color="auto"/>
        <w:bottom w:val="none" w:sz="0" w:space="0" w:color="auto"/>
        <w:right w:val="none" w:sz="0" w:space="0" w:color="auto"/>
      </w:divBdr>
    </w:div>
    <w:div w:id="1754083540">
      <w:bodyDiv w:val="1"/>
      <w:marLeft w:val="0"/>
      <w:marRight w:val="0"/>
      <w:marTop w:val="0"/>
      <w:marBottom w:val="0"/>
      <w:divBdr>
        <w:top w:val="none" w:sz="0" w:space="0" w:color="auto"/>
        <w:left w:val="none" w:sz="0" w:space="0" w:color="auto"/>
        <w:bottom w:val="none" w:sz="0" w:space="0" w:color="auto"/>
        <w:right w:val="none" w:sz="0" w:space="0" w:color="auto"/>
      </w:divBdr>
    </w:div>
    <w:div w:id="1763060915">
      <w:bodyDiv w:val="1"/>
      <w:marLeft w:val="0"/>
      <w:marRight w:val="0"/>
      <w:marTop w:val="0"/>
      <w:marBottom w:val="0"/>
      <w:divBdr>
        <w:top w:val="none" w:sz="0" w:space="0" w:color="auto"/>
        <w:left w:val="none" w:sz="0" w:space="0" w:color="auto"/>
        <w:bottom w:val="none" w:sz="0" w:space="0" w:color="auto"/>
        <w:right w:val="none" w:sz="0" w:space="0" w:color="auto"/>
      </w:divBdr>
    </w:div>
    <w:div w:id="1801847953">
      <w:bodyDiv w:val="1"/>
      <w:marLeft w:val="0"/>
      <w:marRight w:val="0"/>
      <w:marTop w:val="0"/>
      <w:marBottom w:val="0"/>
      <w:divBdr>
        <w:top w:val="none" w:sz="0" w:space="0" w:color="auto"/>
        <w:left w:val="none" w:sz="0" w:space="0" w:color="auto"/>
        <w:bottom w:val="none" w:sz="0" w:space="0" w:color="auto"/>
        <w:right w:val="none" w:sz="0" w:space="0" w:color="auto"/>
      </w:divBdr>
    </w:div>
    <w:div w:id="1811244270">
      <w:bodyDiv w:val="1"/>
      <w:marLeft w:val="0"/>
      <w:marRight w:val="0"/>
      <w:marTop w:val="0"/>
      <w:marBottom w:val="0"/>
      <w:divBdr>
        <w:top w:val="none" w:sz="0" w:space="0" w:color="auto"/>
        <w:left w:val="none" w:sz="0" w:space="0" w:color="auto"/>
        <w:bottom w:val="none" w:sz="0" w:space="0" w:color="auto"/>
        <w:right w:val="none" w:sz="0" w:space="0" w:color="auto"/>
      </w:divBdr>
    </w:div>
    <w:div w:id="1838223827">
      <w:bodyDiv w:val="1"/>
      <w:marLeft w:val="0"/>
      <w:marRight w:val="0"/>
      <w:marTop w:val="0"/>
      <w:marBottom w:val="0"/>
      <w:divBdr>
        <w:top w:val="none" w:sz="0" w:space="0" w:color="auto"/>
        <w:left w:val="none" w:sz="0" w:space="0" w:color="auto"/>
        <w:bottom w:val="none" w:sz="0" w:space="0" w:color="auto"/>
        <w:right w:val="none" w:sz="0" w:space="0" w:color="auto"/>
      </w:divBdr>
    </w:div>
    <w:div w:id="1884438551">
      <w:bodyDiv w:val="1"/>
      <w:marLeft w:val="0"/>
      <w:marRight w:val="0"/>
      <w:marTop w:val="0"/>
      <w:marBottom w:val="0"/>
      <w:divBdr>
        <w:top w:val="none" w:sz="0" w:space="0" w:color="auto"/>
        <w:left w:val="none" w:sz="0" w:space="0" w:color="auto"/>
        <w:bottom w:val="none" w:sz="0" w:space="0" w:color="auto"/>
        <w:right w:val="none" w:sz="0" w:space="0" w:color="auto"/>
      </w:divBdr>
    </w:div>
    <w:div w:id="1925602596">
      <w:bodyDiv w:val="1"/>
      <w:marLeft w:val="0"/>
      <w:marRight w:val="0"/>
      <w:marTop w:val="0"/>
      <w:marBottom w:val="0"/>
      <w:divBdr>
        <w:top w:val="none" w:sz="0" w:space="0" w:color="auto"/>
        <w:left w:val="none" w:sz="0" w:space="0" w:color="auto"/>
        <w:bottom w:val="none" w:sz="0" w:space="0" w:color="auto"/>
        <w:right w:val="none" w:sz="0" w:space="0" w:color="auto"/>
      </w:divBdr>
    </w:div>
    <w:div w:id="2080514961">
      <w:bodyDiv w:val="1"/>
      <w:marLeft w:val="0"/>
      <w:marRight w:val="0"/>
      <w:marTop w:val="0"/>
      <w:marBottom w:val="0"/>
      <w:divBdr>
        <w:top w:val="none" w:sz="0" w:space="0" w:color="auto"/>
        <w:left w:val="none" w:sz="0" w:space="0" w:color="auto"/>
        <w:bottom w:val="none" w:sz="0" w:space="0" w:color="auto"/>
        <w:right w:val="none" w:sz="0" w:space="0" w:color="auto"/>
      </w:divBdr>
    </w:div>
    <w:div w:id="2114202065">
      <w:bodyDiv w:val="1"/>
      <w:marLeft w:val="0"/>
      <w:marRight w:val="0"/>
      <w:marTop w:val="0"/>
      <w:marBottom w:val="0"/>
      <w:divBdr>
        <w:top w:val="none" w:sz="0" w:space="0" w:color="auto"/>
        <w:left w:val="none" w:sz="0" w:space="0" w:color="auto"/>
        <w:bottom w:val="none" w:sz="0" w:space="0" w:color="auto"/>
        <w:right w:val="none" w:sz="0" w:space="0" w:color="auto"/>
      </w:divBdr>
    </w:div>
    <w:div w:id="2130974741">
      <w:bodyDiv w:val="1"/>
      <w:marLeft w:val="0"/>
      <w:marRight w:val="0"/>
      <w:marTop w:val="0"/>
      <w:marBottom w:val="0"/>
      <w:divBdr>
        <w:top w:val="none" w:sz="0" w:space="0" w:color="auto"/>
        <w:left w:val="none" w:sz="0" w:space="0" w:color="auto"/>
        <w:bottom w:val="none" w:sz="0" w:space="0" w:color="auto"/>
        <w:right w:val="none" w:sz="0" w:space="0" w:color="auto"/>
      </w:divBdr>
    </w:div>
    <w:div w:id="214423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043BA-98FC-41B3-9FD2-AB0A362BA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7254</Words>
  <Characters>41349</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48506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Jyotiranjan Pradhan</dc:creator>
  <cp:lastModifiedBy>MePGCL</cp:lastModifiedBy>
  <cp:revision>2</cp:revision>
  <cp:lastPrinted>2022-05-02T06:51:00Z</cp:lastPrinted>
  <dcterms:created xsi:type="dcterms:W3CDTF">2024-12-19T07:43:00Z</dcterms:created>
  <dcterms:modified xsi:type="dcterms:W3CDTF">2024-12-19T07:43:00Z</dcterms:modified>
</cp:coreProperties>
</file>